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复旦大学法学院法律硕士双硕士国际班项目的情况说明</w:t>
      </w:r>
    </w:p>
    <w:p/>
    <w:p>
      <w:pPr>
        <w:pStyle w:val="13"/>
        <w:numPr>
          <w:ilvl w:val="0"/>
          <w:numId w:val="1"/>
        </w:numPr>
        <w:ind w:firstLineChars="0"/>
      </w:pPr>
      <w:r>
        <w:rPr>
          <w:b/>
        </w:rPr>
        <w:t>招生人数</w:t>
      </w:r>
      <w:r>
        <w:rPr>
          <w:rFonts w:hint="eastAsia"/>
        </w:rPr>
        <w:t>：根据2018年</w:t>
      </w:r>
      <w:r>
        <w:t>招收计划</w:t>
      </w:r>
      <w:r>
        <w:rPr>
          <w:rFonts w:hint="eastAsia"/>
        </w:rPr>
        <w:t>，复旦大学法学院法律硕士双硕士国际班项目（以下简称“国际班项目”）将分别</w:t>
      </w:r>
      <w:r>
        <w:t>在</w:t>
      </w:r>
      <w:r>
        <w:rPr>
          <w:rFonts w:hint="eastAsia"/>
        </w:rPr>
        <w:t>法律</w:t>
      </w:r>
      <w:r>
        <w:t>硕士</w:t>
      </w:r>
      <w:r>
        <w:rPr>
          <w:rFonts w:hint="eastAsia"/>
        </w:rPr>
        <w:t>（非法学）和法律硕士（法学）中分别</w:t>
      </w:r>
      <w:r>
        <w:t>招收</w:t>
      </w:r>
      <w:r>
        <w:rPr>
          <w:rFonts w:hint="eastAsia"/>
        </w:rPr>
        <w:t>10人，合计20人。</w:t>
      </w:r>
    </w:p>
    <w:p>
      <w:pPr>
        <w:pStyle w:val="13"/>
        <w:numPr>
          <w:ilvl w:val="0"/>
          <w:numId w:val="1"/>
        </w:numPr>
        <w:ind w:firstLineChars="0"/>
      </w:pPr>
      <w:r>
        <w:rPr>
          <w:rFonts w:hint="eastAsia"/>
          <w:b/>
        </w:rPr>
        <w:t>学制：</w:t>
      </w:r>
      <w:r>
        <w:rPr>
          <w:rFonts w:hint="eastAsia"/>
        </w:rPr>
        <w:t>法硕（非法学）学制三年，法硕（法学）学制两年半，均在第二年出国研习，在海外合作院校完成LLM学位项目。</w:t>
      </w:r>
    </w:p>
    <w:p>
      <w:pPr>
        <w:pStyle w:val="13"/>
        <w:numPr>
          <w:ilvl w:val="0"/>
          <w:numId w:val="1"/>
        </w:numPr>
        <w:ind w:firstLineChars="0"/>
      </w:pPr>
      <w:r>
        <w:rPr>
          <w:rFonts w:hint="eastAsia"/>
          <w:b/>
        </w:rPr>
        <w:t>学费：</w:t>
      </w:r>
      <w:r>
        <w:rPr>
          <w:rFonts w:hint="eastAsia"/>
        </w:rPr>
        <w:t>国际班硕士项目学费分为两次交付，学费目前暂定法硕（非法学）第一年交纳10万元，第三年交纳</w:t>
      </w:r>
      <w:r>
        <w:t>4.4</w:t>
      </w:r>
      <w:r>
        <w:rPr>
          <w:rFonts w:hint="eastAsia"/>
        </w:rPr>
        <w:t>万元，复旦大学法学院三年国内学费合计收取14.4万元。法硕（法学）第一年交纳10万元，第三年交纳2.2万元，复旦大学法学院两年半国内学费合计收取12.</w:t>
      </w:r>
      <w:r>
        <w:t>2</w:t>
      </w:r>
      <w:r>
        <w:rPr>
          <w:rFonts w:hint="eastAsia"/>
        </w:rPr>
        <w:t>万元。最终学费以复旦大学财务处公示标准为准。国际班项目学生在海外LLM求学时，将享受合作大学给予的不同比例的学费优惠（法兰克福大学和圣路易斯华盛顿大学通常有10-30%的学费优惠），其他应交学费需按照对方大学要求交给海外合作院校。</w:t>
      </w:r>
    </w:p>
    <w:p>
      <w:pPr>
        <w:pStyle w:val="13"/>
        <w:numPr>
          <w:ilvl w:val="0"/>
          <w:numId w:val="1"/>
        </w:numPr>
        <w:ind w:firstLineChars="0"/>
      </w:pPr>
      <w:r>
        <w:rPr>
          <w:rFonts w:hint="eastAsia"/>
          <w:b/>
        </w:rPr>
        <w:t>奖学金：</w:t>
      </w:r>
      <w:r>
        <w:rPr>
          <w:rFonts w:hint="eastAsia"/>
        </w:rPr>
        <w:t>针对2018级项目学生，对成功完成留学学业，获得海外合作大学硕士学位，并准时返校完成剩余学业的硕士候选人，复旦大学法学院提供国内学费总额25%的奖学金。其中10%的奖学金在该生被海外合作大学顺利录取并报到后发放；另外</w:t>
      </w:r>
      <w:r>
        <w:t>15</w:t>
      </w:r>
      <w:r>
        <w:rPr>
          <w:rFonts w:hint="eastAsia"/>
        </w:rPr>
        <w:t>%的奖学金在获得海外学位返校后，完成复旦大学法学院学业并获得学位时发放。学生学费应该及时交纳，不能以奖学金充抵。上述奖学金不影响表现优异的项目学生正常申请国家奖学金、院长奖学金（金额2万元）、优秀毕业论文奖、各类学业奖学金等奖项。</w:t>
      </w:r>
    </w:p>
    <w:p>
      <w:pPr>
        <w:pStyle w:val="13"/>
        <w:numPr>
          <w:ilvl w:val="0"/>
          <w:numId w:val="1"/>
        </w:numPr>
        <w:ind w:firstLineChars="0"/>
      </w:pPr>
      <w:r>
        <w:rPr>
          <w:rFonts w:hint="eastAsia"/>
          <w:b/>
        </w:rPr>
        <w:t>合作院校：</w:t>
      </w:r>
      <w:r>
        <w:rPr>
          <w:rFonts w:hint="eastAsia"/>
        </w:rPr>
        <w:t>国际班法律</w:t>
      </w:r>
      <w:r>
        <w:t>硕士</w:t>
      </w:r>
      <w:r>
        <w:rPr>
          <w:rFonts w:hint="eastAsia"/>
        </w:rPr>
        <w:t>（非法学）学生将在第二年前往美国圣路易斯华盛顿大学完成LLM学习；法律硕士（法学）学生可以选择前往美国</w:t>
      </w:r>
      <w:r>
        <w:t>威廉玛丽学院或德国法兰克福大学完成LLM学习</w:t>
      </w:r>
      <w:r>
        <w:rPr>
          <w:rFonts w:hint="eastAsia"/>
        </w:rPr>
        <w:t>。海外合作项目在2018年、2</w:t>
      </w:r>
      <w:r>
        <w:t>019年会陆续增加</w:t>
      </w:r>
      <w:r>
        <w:rPr>
          <w:rFonts w:hint="eastAsia"/>
        </w:rPr>
        <w:t>，</w:t>
      </w:r>
      <w:r>
        <w:t>学生的自由选择余地会更大</w:t>
      </w:r>
      <w:r>
        <w:rPr>
          <w:rFonts w:hint="eastAsia"/>
        </w:rPr>
        <w:t>。复旦大学法学院将推荐语言和成绩达到海外合作大学要求的学生继续修读海外LLM学位，海外合作大学决定录取。如果国外大学项目录取人数超过学生申请数量，复旦大学法学院将根据学生学业情况排序推荐。</w:t>
      </w:r>
      <w:r>
        <w:t>合作大学相关要求如下</w:t>
      </w:r>
      <w:r>
        <w:rPr>
          <w:rFonts w:hint="eastAsia"/>
        </w:rPr>
        <w:t>：</w:t>
      </w:r>
    </w:p>
    <w:p>
      <w:pPr>
        <w:pStyle w:val="13"/>
        <w:ind w:left="420" w:firstLine="0" w:firstLineChars="0"/>
        <w:rPr>
          <w:b/>
        </w:rPr>
      </w:pPr>
    </w:p>
    <w:tbl>
      <w:tblPr>
        <w:tblStyle w:val="12"/>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410"/>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Pr>
          <w:p>
            <w:pPr>
              <w:pStyle w:val="13"/>
              <w:ind w:firstLine="0" w:firstLineChars="0"/>
              <w:jc w:val="center"/>
              <w:rPr>
                <w:b/>
              </w:rPr>
            </w:pPr>
            <w:r>
              <w:rPr>
                <w:rFonts w:hint="eastAsia"/>
                <w:b/>
              </w:rPr>
              <w:t>合作院校</w:t>
            </w:r>
          </w:p>
        </w:tc>
        <w:tc>
          <w:tcPr>
            <w:tcW w:w="2410" w:type="dxa"/>
          </w:tcPr>
          <w:p>
            <w:pPr>
              <w:pStyle w:val="13"/>
              <w:ind w:firstLine="0" w:firstLineChars="0"/>
              <w:jc w:val="center"/>
              <w:rPr>
                <w:b/>
              </w:rPr>
            </w:pPr>
            <w:r>
              <w:rPr>
                <w:rFonts w:hint="eastAsia"/>
                <w:b/>
              </w:rPr>
              <w:t>英文要求</w:t>
            </w:r>
          </w:p>
        </w:tc>
        <w:tc>
          <w:tcPr>
            <w:tcW w:w="1843" w:type="dxa"/>
          </w:tcPr>
          <w:p>
            <w:pPr>
              <w:pStyle w:val="13"/>
              <w:ind w:firstLine="0" w:firstLineChars="0"/>
              <w:jc w:val="center"/>
              <w:rPr>
                <w:b/>
              </w:rPr>
            </w:pPr>
            <w:r>
              <w:rPr>
                <w:rFonts w:hint="eastAsia"/>
                <w:b/>
              </w:rPr>
              <w:t>成绩要求</w:t>
            </w:r>
          </w:p>
        </w:tc>
        <w:tc>
          <w:tcPr>
            <w:tcW w:w="1751" w:type="dxa"/>
          </w:tcPr>
          <w:p>
            <w:pPr>
              <w:pStyle w:val="13"/>
              <w:ind w:firstLine="0" w:firstLineChars="0"/>
              <w:jc w:val="center"/>
              <w:rPr>
                <w:b/>
              </w:rPr>
            </w:pPr>
            <w:r>
              <w:rPr>
                <w:rFonts w:hint="eastAsia"/>
                <w:b/>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Pr>
          <w:p>
            <w:pPr>
              <w:pStyle w:val="13"/>
              <w:ind w:firstLine="0" w:firstLineChars="0"/>
              <w:jc w:val="center"/>
              <w:rPr>
                <w:b/>
              </w:rPr>
            </w:pPr>
            <w:r>
              <w:rPr>
                <w:rFonts w:hint="eastAsia"/>
                <w:b/>
              </w:rPr>
              <w:t>美国圣路易斯华盛顿大学</w:t>
            </w:r>
          </w:p>
        </w:tc>
        <w:tc>
          <w:tcPr>
            <w:tcW w:w="2410" w:type="dxa"/>
          </w:tcPr>
          <w:p>
            <w:pPr>
              <w:pStyle w:val="13"/>
              <w:ind w:firstLine="0" w:firstLineChars="0"/>
              <w:jc w:val="center"/>
              <w:rPr>
                <w:b/>
              </w:rPr>
            </w:pPr>
            <w:r>
              <w:rPr>
                <w:rFonts w:hint="eastAsia"/>
                <w:b/>
              </w:rPr>
              <w:t>托福95分以上或者相应的雅思、剑桥英语成绩（可适当放宽、附条件录取，具体达标要求将在录取时由该校明确；报名仍需提交语言考试成绩）</w:t>
            </w:r>
          </w:p>
        </w:tc>
        <w:tc>
          <w:tcPr>
            <w:tcW w:w="1843" w:type="dxa"/>
          </w:tcPr>
          <w:p>
            <w:pPr>
              <w:pStyle w:val="13"/>
              <w:ind w:firstLine="0" w:firstLineChars="0"/>
              <w:jc w:val="center"/>
              <w:rPr>
                <w:b/>
              </w:rPr>
            </w:pPr>
            <w:r>
              <w:rPr>
                <w:rFonts w:hint="eastAsia"/>
                <w:b/>
              </w:rPr>
              <w:t>绩点3.2以上</w:t>
            </w:r>
          </w:p>
        </w:tc>
        <w:tc>
          <w:tcPr>
            <w:tcW w:w="1751" w:type="dxa"/>
          </w:tcPr>
          <w:p>
            <w:pPr>
              <w:pStyle w:val="13"/>
              <w:ind w:firstLine="0" w:firstLineChars="0"/>
              <w:jc w:val="center"/>
              <w:rPr>
                <w:b/>
              </w:rPr>
            </w:pPr>
            <w:r>
              <w:rPr>
                <w:rFonts w:hint="eastAsia"/>
                <w:b/>
              </w:rPr>
              <w:t>在华盛顿法学院法学硕士项目期间获得的绩点若满足相应要求，将能申请法律博士（JD）项目，且不需参加LSAT考试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Pr>
          <w:p>
            <w:pPr>
              <w:pStyle w:val="13"/>
              <w:ind w:firstLine="0" w:firstLineChars="0"/>
              <w:jc w:val="center"/>
              <w:rPr>
                <w:b/>
              </w:rPr>
            </w:pPr>
            <w:r>
              <w:rPr>
                <w:rFonts w:hint="eastAsia"/>
                <w:b/>
              </w:rPr>
              <w:t>美国威廉玛丽学院</w:t>
            </w:r>
          </w:p>
        </w:tc>
        <w:tc>
          <w:tcPr>
            <w:tcW w:w="2410" w:type="dxa"/>
          </w:tcPr>
          <w:p>
            <w:pPr>
              <w:pStyle w:val="13"/>
              <w:ind w:firstLine="0" w:firstLineChars="0"/>
              <w:jc w:val="center"/>
              <w:rPr>
                <w:b/>
              </w:rPr>
            </w:pPr>
            <w:r>
              <w:rPr>
                <w:rFonts w:hint="eastAsia"/>
                <w:b/>
              </w:rPr>
              <w:t>托福100分以上或者雅思6.5以上（可适当放宽、附条件录取，具体达标要求将在录取时由该校明确；报名仍需提交语言考试成绩）</w:t>
            </w:r>
          </w:p>
        </w:tc>
        <w:tc>
          <w:tcPr>
            <w:tcW w:w="1843" w:type="dxa"/>
          </w:tcPr>
          <w:p>
            <w:pPr>
              <w:pStyle w:val="13"/>
              <w:ind w:firstLine="0" w:firstLineChars="0"/>
              <w:jc w:val="center"/>
              <w:rPr>
                <w:b/>
              </w:rPr>
            </w:pPr>
            <w:r>
              <w:rPr>
                <w:rFonts w:hint="eastAsia"/>
                <w:b/>
              </w:rPr>
              <w:t>成绩优良</w:t>
            </w:r>
          </w:p>
        </w:tc>
        <w:tc>
          <w:tcPr>
            <w:tcW w:w="1751" w:type="dxa"/>
          </w:tcPr>
          <w:p>
            <w:pPr>
              <w:pStyle w:val="13"/>
              <w:ind w:firstLine="0" w:firstLineChars="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8" w:type="dxa"/>
          </w:tcPr>
          <w:p>
            <w:pPr>
              <w:pStyle w:val="13"/>
              <w:ind w:firstLine="0" w:firstLineChars="0"/>
              <w:jc w:val="center"/>
              <w:rPr>
                <w:b/>
              </w:rPr>
            </w:pPr>
            <w:r>
              <w:rPr>
                <w:rFonts w:hint="eastAsia"/>
                <w:b/>
              </w:rPr>
              <w:t>德国法兰克福大学</w:t>
            </w:r>
          </w:p>
        </w:tc>
        <w:tc>
          <w:tcPr>
            <w:tcW w:w="2410" w:type="dxa"/>
          </w:tcPr>
          <w:p>
            <w:pPr>
              <w:pStyle w:val="13"/>
              <w:ind w:firstLine="0" w:firstLineChars="0"/>
              <w:jc w:val="center"/>
              <w:rPr>
                <w:b/>
              </w:rPr>
            </w:pPr>
            <w:r>
              <w:rPr>
                <w:rFonts w:hint="eastAsia"/>
                <w:b/>
              </w:rPr>
              <w:t>托福92分以上或雅思6.5以上</w:t>
            </w:r>
          </w:p>
        </w:tc>
        <w:tc>
          <w:tcPr>
            <w:tcW w:w="1843" w:type="dxa"/>
          </w:tcPr>
          <w:p>
            <w:pPr>
              <w:pStyle w:val="13"/>
              <w:ind w:firstLine="0" w:firstLineChars="0"/>
              <w:jc w:val="center"/>
              <w:rPr>
                <w:b/>
              </w:rPr>
            </w:pPr>
            <w:r>
              <w:rPr>
                <w:rFonts w:hint="eastAsia"/>
                <w:b/>
              </w:rPr>
              <w:t>综合排名前30%或绩点3.2以上</w:t>
            </w:r>
          </w:p>
        </w:tc>
        <w:tc>
          <w:tcPr>
            <w:tcW w:w="1751" w:type="dxa"/>
          </w:tcPr>
          <w:p>
            <w:pPr>
              <w:pStyle w:val="13"/>
              <w:ind w:firstLine="0" w:firstLineChars="0"/>
              <w:jc w:val="center"/>
              <w:rPr>
                <w:b/>
              </w:rPr>
            </w:pPr>
          </w:p>
        </w:tc>
      </w:tr>
    </w:tbl>
    <w:p>
      <w:pPr>
        <w:pStyle w:val="13"/>
        <w:ind w:left="420" w:firstLine="0" w:firstLineChars="0"/>
        <w:jc w:val="center"/>
        <w:rPr>
          <w:b/>
        </w:rPr>
      </w:pPr>
    </w:p>
    <w:p>
      <w:pPr>
        <w:pStyle w:val="13"/>
        <w:ind w:left="420" w:firstLine="0" w:firstLineChars="0"/>
      </w:pPr>
      <w:r>
        <w:rPr>
          <w:rFonts w:hint="eastAsia"/>
        </w:rPr>
        <w:t>针对项目与合作院校的其他未尽事宜，学生可向复旦大学法学院国际事务办公室咨询。</w:t>
      </w:r>
    </w:p>
    <w:p>
      <w:pPr>
        <w:pStyle w:val="13"/>
        <w:ind w:left="420" w:firstLine="0" w:firstLineChars="0"/>
      </w:pPr>
    </w:p>
    <w:p>
      <w:pPr>
        <w:pStyle w:val="13"/>
        <w:numPr>
          <w:ilvl w:val="0"/>
          <w:numId w:val="1"/>
        </w:numPr>
        <w:ind w:firstLineChars="0"/>
      </w:pPr>
      <w:r>
        <w:rPr>
          <w:b/>
        </w:rPr>
        <w:t>课程配置</w:t>
      </w:r>
      <w:r>
        <w:rPr>
          <w:rFonts w:hint="eastAsia"/>
          <w:b/>
        </w:rPr>
        <w:t>：</w:t>
      </w:r>
      <w:r>
        <w:rPr>
          <w:rFonts w:hint="eastAsia"/>
        </w:rPr>
        <w:t>双硕士国际班同学将在第一年参加以全英文法律专业课程为主的学习，在夯实和深化法律专业知识学习的同时，为海外研修做好准备。</w:t>
      </w:r>
    </w:p>
    <w:p>
      <w:pPr>
        <w:pStyle w:val="13"/>
        <w:numPr>
          <w:ilvl w:val="0"/>
          <w:numId w:val="1"/>
        </w:numPr>
        <w:ind w:firstLineChars="0"/>
      </w:pPr>
      <w:r>
        <w:rPr>
          <w:b/>
        </w:rPr>
        <w:t>项目转换</w:t>
      </w:r>
      <w:r>
        <w:rPr>
          <w:rFonts w:hint="eastAsia"/>
          <w:b/>
        </w:rPr>
        <w:t>：</w:t>
      </w:r>
      <w:r>
        <w:rPr>
          <w:rFonts w:hint="eastAsia"/>
        </w:rPr>
        <w:t>双硕士国际班为复旦大学法学院开设的高端特色项目班，主要面向英语优秀的法律硕士同学，旨在培养高素质涉外复合型法律人才。本项目采取自愿申请的方式，一旦申请</w:t>
      </w:r>
      <w:r>
        <w:rPr>
          <w:rFonts w:hint="eastAsia"/>
          <w:lang w:eastAsia="zh-CN"/>
        </w:rPr>
        <w:t>并通过遴选</w:t>
      </w:r>
      <w:r>
        <w:rPr>
          <w:rFonts w:hint="eastAsia"/>
        </w:rPr>
        <w:t>将不得转换为普通法硕（非法学）或普通法硕（法学）项目。如因各种原因未能符合留学条件，在第二年无法在国外合作院校继续修读LLM项目的学生方可依照相关程序转为普通法硕（非法学）或普通法硕（法学）项目学生。第二年及第三年的收费遂与普通项目学生相同，第一年已收取学费不再退还。</w:t>
      </w:r>
    </w:p>
    <w:p>
      <w:pPr>
        <w:pStyle w:val="13"/>
        <w:numPr>
          <w:ilvl w:val="0"/>
          <w:numId w:val="1"/>
        </w:numPr>
        <w:ind w:firstLineChars="0"/>
      </w:pPr>
      <w:r>
        <w:rPr>
          <w:b/>
        </w:rPr>
        <w:t>附则</w:t>
      </w:r>
      <w:r>
        <w:rPr>
          <w:rFonts w:hint="eastAsia"/>
          <w:b/>
        </w:rPr>
        <w:t>：</w:t>
      </w:r>
      <w:r>
        <w:rPr>
          <w:rFonts w:hint="eastAsia"/>
        </w:rPr>
        <w:t>本简章由复旦大学法学院解释。该项目其他具体信息我们会在复旦大学法学院官方网站（</w:t>
      </w:r>
      <w:r>
        <w:t>http://www.law.fudan.edu.cn/</w:t>
      </w:r>
      <w:r>
        <w:rPr>
          <w:rFonts w:hint="eastAsia"/>
        </w:rPr>
        <w:t>）及时发布。</w:t>
      </w:r>
    </w:p>
    <w:p/>
    <w:p>
      <w:pPr>
        <w:rPr>
          <w:rFonts w:hint="eastAsia"/>
          <w:lang w:val="en-US" w:eastAsia="zh-CN"/>
        </w:rPr>
      </w:pPr>
      <w:r>
        <w:rPr>
          <w:rFonts w:hint="eastAsia"/>
          <w:lang w:val="en-US" w:eastAsia="zh-CN"/>
        </w:rPr>
        <w:t xml:space="preserve">                                                       复旦大学法学院</w:t>
      </w:r>
    </w:p>
    <w:p>
      <w:pPr>
        <w:rPr>
          <w:rFonts w:hint="eastAsia"/>
          <w:lang w:val="en-US" w:eastAsia="zh-CN"/>
        </w:rPr>
      </w:pP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2017年9月15日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Lucida Grande">
    <w:altName w:val="Arial"/>
    <w:panose1 w:val="00000000000000000000"/>
    <w:charset w:val="00"/>
    <w:family w:val="auto"/>
    <w:pitch w:val="default"/>
    <w:sig w:usb0="00000000" w:usb1="00000000" w:usb2="00000000" w:usb3="00000000" w:csb0="000001B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542EE"/>
    <w:multiLevelType w:val="multilevel"/>
    <w:tmpl w:val="41E542E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BB"/>
    <w:rsid w:val="000221E2"/>
    <w:rsid w:val="00055A7A"/>
    <w:rsid w:val="000729A5"/>
    <w:rsid w:val="000F1FF2"/>
    <w:rsid w:val="00167103"/>
    <w:rsid w:val="001B1144"/>
    <w:rsid w:val="001F4C1D"/>
    <w:rsid w:val="002164D4"/>
    <w:rsid w:val="00261F9A"/>
    <w:rsid w:val="00274178"/>
    <w:rsid w:val="00274A94"/>
    <w:rsid w:val="00290096"/>
    <w:rsid w:val="00305ACF"/>
    <w:rsid w:val="003D3A62"/>
    <w:rsid w:val="003D52DC"/>
    <w:rsid w:val="004645F1"/>
    <w:rsid w:val="004D5262"/>
    <w:rsid w:val="004F5830"/>
    <w:rsid w:val="00503B23"/>
    <w:rsid w:val="00506C61"/>
    <w:rsid w:val="005201A7"/>
    <w:rsid w:val="0056218D"/>
    <w:rsid w:val="005D032B"/>
    <w:rsid w:val="00623776"/>
    <w:rsid w:val="00623977"/>
    <w:rsid w:val="00661B8E"/>
    <w:rsid w:val="00663375"/>
    <w:rsid w:val="0066492A"/>
    <w:rsid w:val="00712137"/>
    <w:rsid w:val="00751976"/>
    <w:rsid w:val="00777ACF"/>
    <w:rsid w:val="007D0D7D"/>
    <w:rsid w:val="007D3628"/>
    <w:rsid w:val="008C4D65"/>
    <w:rsid w:val="008D460C"/>
    <w:rsid w:val="00961AC9"/>
    <w:rsid w:val="0098217A"/>
    <w:rsid w:val="009A191B"/>
    <w:rsid w:val="009E2B31"/>
    <w:rsid w:val="009F2C6F"/>
    <w:rsid w:val="00A168A8"/>
    <w:rsid w:val="00A218CF"/>
    <w:rsid w:val="00A82909"/>
    <w:rsid w:val="00A949BB"/>
    <w:rsid w:val="00AA0C07"/>
    <w:rsid w:val="00AA4E8B"/>
    <w:rsid w:val="00AE3632"/>
    <w:rsid w:val="00B01601"/>
    <w:rsid w:val="00B478A3"/>
    <w:rsid w:val="00B54CE7"/>
    <w:rsid w:val="00B6454E"/>
    <w:rsid w:val="00BA31D5"/>
    <w:rsid w:val="00C23C6C"/>
    <w:rsid w:val="00CF23EA"/>
    <w:rsid w:val="00D33743"/>
    <w:rsid w:val="00D927F6"/>
    <w:rsid w:val="00DB1388"/>
    <w:rsid w:val="00E00FF3"/>
    <w:rsid w:val="00E06803"/>
    <w:rsid w:val="00E070B0"/>
    <w:rsid w:val="00E450B7"/>
    <w:rsid w:val="00EA6EEF"/>
    <w:rsid w:val="00EB079E"/>
    <w:rsid w:val="00EB1EB3"/>
    <w:rsid w:val="00F14539"/>
    <w:rsid w:val="00F32A3E"/>
    <w:rsid w:val="00F34D5A"/>
    <w:rsid w:val="00F710F4"/>
    <w:rsid w:val="00F95E91"/>
    <w:rsid w:val="00FC5A59"/>
    <w:rsid w:val="0BF6383A"/>
    <w:rsid w:val="1CE04A39"/>
    <w:rsid w:val="7E9505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sz w:val="20"/>
      <w:szCs w:val="20"/>
    </w:rPr>
  </w:style>
  <w:style w:type="paragraph" w:styleId="3">
    <w:name w:val="annotation text"/>
    <w:basedOn w:val="1"/>
    <w:link w:val="18"/>
    <w:unhideWhenUsed/>
    <w:qFormat/>
    <w:uiPriority w:val="99"/>
    <w:rPr>
      <w:sz w:val="24"/>
      <w:szCs w:val="24"/>
    </w:rPr>
  </w:style>
  <w:style w:type="paragraph" w:styleId="4">
    <w:name w:val="Balloon Text"/>
    <w:basedOn w:val="1"/>
    <w:link w:val="17"/>
    <w:unhideWhenUsed/>
    <w:qFormat/>
    <w:uiPriority w:val="99"/>
    <w:rPr>
      <w:rFonts w:ascii="Lucida Grande" w:hAnsi="Lucida Grande" w:cs="Lucida Grande"/>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sz w:val="18"/>
      <w:szCs w:val="18"/>
    </w:rPr>
  </w:style>
  <w:style w:type="character" w:styleId="9">
    <w:name w:val="annotation reference"/>
    <w:basedOn w:val="8"/>
    <w:unhideWhenUsed/>
    <w:qFormat/>
    <w:uiPriority w:val="99"/>
    <w:rPr>
      <w:sz w:val="18"/>
      <w:szCs w:val="18"/>
    </w:rPr>
  </w:style>
  <w:style w:type="character" w:styleId="10">
    <w:name w:val="footnote reference"/>
    <w:basedOn w:val="8"/>
    <w:unhideWhenUsed/>
    <w:qFormat/>
    <w:uiPriority w:val="99"/>
    <w:rPr>
      <w:vertAlign w:val="superscript"/>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脚注文本 Char"/>
    <w:basedOn w:val="8"/>
    <w:link w:val="7"/>
    <w:semiHidden/>
    <w:qFormat/>
    <w:uiPriority w:val="99"/>
    <w:rPr>
      <w:sz w:val="18"/>
      <w:szCs w:val="18"/>
    </w:rPr>
  </w:style>
  <w:style w:type="character" w:customStyle="1" w:styleId="17">
    <w:name w:val="批注框文本 Char"/>
    <w:basedOn w:val="8"/>
    <w:link w:val="4"/>
    <w:semiHidden/>
    <w:qFormat/>
    <w:uiPriority w:val="99"/>
    <w:rPr>
      <w:rFonts w:ascii="Lucida Grande" w:hAnsi="Lucida Grande" w:cs="Lucida Grande"/>
      <w:sz w:val="18"/>
      <w:szCs w:val="18"/>
    </w:rPr>
  </w:style>
  <w:style w:type="character" w:customStyle="1" w:styleId="18">
    <w:name w:val="批注文字 Char"/>
    <w:basedOn w:val="8"/>
    <w:link w:val="3"/>
    <w:semiHidden/>
    <w:qFormat/>
    <w:uiPriority w:val="99"/>
    <w:rPr>
      <w:sz w:val="24"/>
      <w:szCs w:val="24"/>
    </w:rPr>
  </w:style>
  <w:style w:type="character" w:customStyle="1" w:styleId="19">
    <w:name w:val="批注主题 Char"/>
    <w:basedOn w:val="18"/>
    <w:link w:val="2"/>
    <w:semiHidden/>
    <w:qFormat/>
    <w:uiPriority w:val="99"/>
    <w:rPr>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12D2A-6396-4676-9CA9-634E31CABE7F}">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1318</Characters>
  <Lines>10</Lines>
  <Paragraphs>3</Paragraphs>
  <ScaleCrop>false</ScaleCrop>
  <LinksUpToDate>false</LinksUpToDate>
  <CharactersWithSpaces>1546</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2017-09-14T09:55:00Z</dcterms:created>
  <dc:creator>home</dc:creator>
  <cp:lastModifiedBy>admin</cp:lastModifiedBy>
  <dcterms:modified xsi:type="dcterms:W3CDTF">2017-09-15T09:29:28Z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