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附件一、论文格式规范</w:t>
      </w:r>
    </w:p>
    <w:p>
      <w:pPr>
        <w:spacing w:line="360" w:lineRule="auto"/>
        <w:ind w:right="-57" w:rightChars="-27"/>
        <w:jc w:val="center"/>
        <w:rPr>
          <w:rFonts w:ascii="隶书" w:hAnsi="Courier New" w:eastAsia="黑体" w:cs="Times New Roman"/>
          <w:bCs/>
          <w:sz w:val="36"/>
          <w:szCs w:val="20"/>
        </w:rPr>
      </w:pPr>
      <w:r>
        <w:rPr>
          <w:rFonts w:hint="eastAsia" w:ascii="隶书" w:hAnsi="Courier New" w:eastAsia="黑体" w:cs="Times New Roman"/>
          <w:bCs/>
          <w:sz w:val="36"/>
          <w:szCs w:val="20"/>
        </w:rPr>
        <w:t>复旦大学博士生学术论坛</w:t>
      </w:r>
      <w:r>
        <w:rPr>
          <w:rFonts w:ascii="隶书" w:hAnsi="Courier New" w:eastAsia="黑体" w:cs="Times New Roman"/>
          <w:bCs/>
          <w:sz w:val="36"/>
          <w:szCs w:val="20"/>
        </w:rPr>
        <w:t>之法学分论坛</w:t>
      </w:r>
    </w:p>
    <w:p>
      <w:pPr>
        <w:spacing w:line="360" w:lineRule="auto"/>
        <w:ind w:right="-57" w:rightChars="-27"/>
        <w:jc w:val="center"/>
        <w:rPr>
          <w:rFonts w:ascii="隶书" w:hAnsi="Courier New" w:eastAsia="黑体" w:cs="Times New Roman"/>
          <w:bCs/>
          <w:sz w:val="36"/>
          <w:szCs w:val="20"/>
        </w:rPr>
      </w:pPr>
      <w:r>
        <w:rPr>
          <w:rFonts w:hint="eastAsia" w:ascii="隶书" w:hAnsi="Courier New" w:eastAsia="黑体" w:cs="Times New Roman"/>
          <w:bCs/>
          <w:sz w:val="36"/>
          <w:szCs w:val="20"/>
        </w:rPr>
        <w:t>会议论文规范</w:t>
      </w:r>
    </w:p>
    <w:p>
      <w:pPr>
        <w:ind w:right="-57" w:rightChars="-27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一</w:t>
      </w:r>
      <w:r>
        <w:rPr>
          <w:rFonts w:ascii="黑体" w:hAnsi="Times New Roman" w:eastAsia="黑体" w:cs="Times New Roman"/>
          <w:sz w:val="28"/>
          <w:szCs w:val="24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4"/>
        </w:rPr>
        <w:t>、论文封面制作要求</w:t>
      </w:r>
    </w:p>
    <w:p>
      <w:pPr>
        <w:spacing w:line="440" w:lineRule="exact"/>
        <w:ind w:right="-57" w:rightChars="-27" w:firstLine="600" w:firstLineChars="250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见</w:t>
      </w:r>
      <w:bookmarkStart w:id="0" w:name="_GoBack"/>
      <w:bookmarkEnd w:id="0"/>
      <w:r>
        <w:rPr>
          <w:rFonts w:hint="eastAsia" w:ascii="宋体" w:hAnsi="Times New Roman" w:eastAsia="宋体" w:cs="Times New Roman"/>
          <w:sz w:val="24"/>
          <w:szCs w:val="24"/>
        </w:rPr>
        <w:t>附件二。</w:t>
      </w:r>
    </w:p>
    <w:p>
      <w:pPr>
        <w:spacing w:line="140" w:lineRule="exact"/>
        <w:ind w:right="-57" w:rightChars="-27"/>
        <w:rPr>
          <w:rFonts w:ascii="宋体" w:hAnsi="Times New Roman" w:eastAsia="宋体" w:cs="Times New Roman"/>
          <w:sz w:val="24"/>
          <w:szCs w:val="24"/>
        </w:rPr>
      </w:pPr>
    </w:p>
    <w:p>
      <w:pPr>
        <w:spacing w:line="440" w:lineRule="exact"/>
        <w:ind w:right="-57" w:rightChars="-27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二、论文内容编排要求</w:t>
      </w:r>
    </w:p>
    <w:p>
      <w:pPr>
        <w:spacing w:line="440" w:lineRule="exact"/>
        <w:ind w:right="-57" w:rightChars="-27" w:firstLine="42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（一）论文统一按word格式A4纸（“页面设置”按word默认值）编排、打印、制作。</w:t>
      </w:r>
    </w:p>
    <w:p>
      <w:pPr>
        <w:spacing w:line="440" w:lineRule="exact"/>
        <w:ind w:right="-57" w:rightChars="-27" w:firstLine="420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正文内容，字体：宋体、字号：小四号、字符间距：标准、行距：20磅。</w:t>
      </w:r>
    </w:p>
    <w:p>
      <w:pPr>
        <w:spacing w:line="440" w:lineRule="exact"/>
        <w:ind w:right="-57" w:rightChars="-27" w:firstLine="48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（二）论文正文要求一万字左右，每篇文章附不超过五百字的摘要。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</w:p>
    <w:p>
      <w:pPr>
        <w:spacing w:line="440" w:lineRule="exact"/>
        <w:ind w:right="-57" w:rightChars="-27"/>
        <w:rPr>
          <w:rFonts w:hint="eastAsia"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三</w:t>
      </w:r>
      <w:r>
        <w:rPr>
          <w:rFonts w:ascii="黑体" w:hAnsi="Times New Roman" w:eastAsia="黑体" w:cs="Times New Roman"/>
          <w:sz w:val="28"/>
          <w:szCs w:val="24"/>
        </w:rPr>
        <w:t>、</w:t>
      </w:r>
      <w:r>
        <w:rPr>
          <w:rFonts w:hint="eastAsia" w:ascii="黑体" w:hAnsi="Times New Roman" w:eastAsia="黑体" w:cs="Times New Roman"/>
          <w:sz w:val="28"/>
          <w:szCs w:val="24"/>
        </w:rPr>
        <w:t>论文</w:t>
      </w:r>
      <w:r>
        <w:rPr>
          <w:rFonts w:ascii="黑体" w:hAnsi="Times New Roman" w:eastAsia="黑体" w:cs="Times New Roman"/>
          <w:sz w:val="28"/>
          <w:szCs w:val="24"/>
        </w:rPr>
        <w:t>注释要求</w:t>
      </w:r>
    </w:p>
    <w:p>
      <w:pPr>
        <w:spacing w:line="440" w:lineRule="exact"/>
        <w:ind w:right="-57" w:rightChars="-27" w:firstLine="42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（一</w:t>
      </w:r>
      <w:r>
        <w:rPr>
          <w:rFonts w:ascii="宋体" w:hAnsi="Times New Roman" w:eastAsia="宋体" w:cs="Times New Roman"/>
          <w:sz w:val="24"/>
          <w:szCs w:val="24"/>
        </w:rPr>
        <w:t>）</w:t>
      </w:r>
      <w:r>
        <w:rPr>
          <w:rFonts w:hint="eastAsia" w:ascii="宋体" w:hAnsi="Times New Roman" w:eastAsia="宋体" w:cs="Times New Roman"/>
          <w:sz w:val="24"/>
          <w:szCs w:val="24"/>
        </w:rPr>
        <w:t>根据必要和清晰原则设置注释，不提倡繁琐引用。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（二）</w:t>
      </w:r>
      <w:r>
        <w:rPr>
          <w:rFonts w:hint="eastAsia" w:ascii="宋体" w:hAnsi="Times New Roman" w:eastAsia="宋体" w:cs="Times New Roman"/>
          <w:sz w:val="24"/>
          <w:szCs w:val="24"/>
        </w:rPr>
        <w:t>采用脚注，全文连续编码。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（三）</w:t>
      </w:r>
      <w:r>
        <w:rPr>
          <w:rFonts w:hint="eastAsia" w:ascii="宋体" w:hAnsi="Times New Roman" w:eastAsia="宋体" w:cs="Times New Roman"/>
          <w:sz w:val="24"/>
          <w:szCs w:val="24"/>
        </w:rPr>
        <w:t>注码置于标点符号之后（对句中词语加注者除外）。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（四）</w:t>
      </w:r>
      <w:r>
        <w:rPr>
          <w:rFonts w:hint="eastAsia" w:ascii="宋体" w:hAnsi="Times New Roman" w:eastAsia="宋体" w:cs="Times New Roman"/>
          <w:sz w:val="24"/>
          <w:szCs w:val="24"/>
        </w:rPr>
        <w:t>文中及页脚注码符号为六角型括号（“[]”）。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</w:t>
      </w:r>
      <w:r>
        <w:rPr>
          <w:rFonts w:hint="eastAsia" w:ascii="宋体" w:hAnsi="Times New Roman" w:eastAsia="宋体" w:cs="Times New Roman"/>
          <w:sz w:val="24"/>
          <w:szCs w:val="24"/>
        </w:rPr>
        <w:t>五</w:t>
      </w:r>
      <w:r>
        <w:rPr>
          <w:rFonts w:ascii="宋体" w:hAnsi="Times New Roman" w:eastAsia="宋体" w:cs="Times New Roman"/>
          <w:sz w:val="24"/>
          <w:szCs w:val="24"/>
        </w:rPr>
        <w:t>）</w:t>
      </w:r>
      <w:r>
        <w:rPr>
          <w:rFonts w:hint="eastAsia" w:ascii="宋体" w:hAnsi="Times New Roman" w:eastAsia="宋体" w:cs="Times New Roman"/>
          <w:sz w:val="24"/>
          <w:szCs w:val="24"/>
        </w:rPr>
        <w:t>作者注仅注明作者单位（不含院系）及职称或者职务。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（六）</w:t>
      </w:r>
      <w:r>
        <w:rPr>
          <w:rFonts w:hint="eastAsia" w:ascii="宋体" w:hAnsi="Times New Roman" w:eastAsia="宋体" w:cs="Times New Roman"/>
          <w:sz w:val="24"/>
          <w:szCs w:val="24"/>
        </w:rPr>
        <w:t>非引用原文者，注释前加“参见”。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（七）</w:t>
      </w:r>
      <w:r>
        <w:rPr>
          <w:rFonts w:hint="eastAsia" w:ascii="宋体" w:hAnsi="Times New Roman" w:eastAsia="宋体" w:cs="Times New Roman"/>
          <w:sz w:val="24"/>
          <w:szCs w:val="24"/>
        </w:rPr>
        <w:t>非引自原始文献、且为珍罕文献而不易核查的，先标注原始文献，再以“转引自”说明直接征引文献；非作者直接得自原始文献、但其为常规文献的，应核查后、直接标注原始文献，再以“参见”说明作者藉以获得线索的文献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（八）</w:t>
      </w:r>
      <w:r>
        <w:rPr>
          <w:rFonts w:hint="eastAsia" w:ascii="宋体" w:hAnsi="Times New Roman" w:eastAsia="宋体" w:cs="Times New Roman"/>
          <w:sz w:val="24"/>
          <w:szCs w:val="24"/>
        </w:rPr>
        <w:t>所引用文献多次出现，除首次出现时标引完整出版信息外，此后采用交叉引用格式。两注释相邻的，标明“同上”。</w:t>
      </w:r>
    </w:p>
    <w:p>
      <w:pPr>
        <w:spacing w:line="440" w:lineRule="exact"/>
        <w:ind w:right="-57" w:rightChars="-27" w:firstLine="48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ascii="宋体" w:hAnsi="Times New Roman" w:eastAsia="宋体" w:cs="Times New Roman"/>
          <w:sz w:val="24"/>
          <w:szCs w:val="24"/>
        </w:rPr>
        <w:t>（九）</w:t>
      </w:r>
      <w:r>
        <w:rPr>
          <w:rFonts w:hint="eastAsia" w:ascii="宋体" w:hAnsi="Times New Roman" w:eastAsia="宋体" w:cs="Times New Roman"/>
          <w:sz w:val="24"/>
          <w:szCs w:val="24"/>
        </w:rPr>
        <w:t>外语文献根据该文种注释习惯。其中，英语文献使用Bluebook体例。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注释</w:t>
      </w:r>
      <w:r>
        <w:rPr>
          <w:rFonts w:ascii="宋体" w:hAnsi="Times New Roman" w:eastAsia="宋体" w:cs="Times New Roman"/>
          <w:sz w:val="24"/>
          <w:szCs w:val="24"/>
        </w:rPr>
        <w:t>例式见 附件三。</w:t>
      </w:r>
    </w:p>
    <w:p>
      <w:pPr>
        <w:spacing w:line="440" w:lineRule="exact"/>
        <w:ind w:right="-57" w:rightChars="-27" w:firstLine="480" w:firstLineChars="200"/>
        <w:rPr>
          <w:rFonts w:hint="eastAsia" w:ascii="宋体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宋体" w:cs="Times New Roman"/>
          <w:b/>
          <w:szCs w:val="24"/>
        </w:rPr>
        <w:t>附件二、会议论文封面标准样本</w:t>
      </w:r>
    </w:p>
    <w:tbl>
      <w:tblPr>
        <w:tblStyle w:val="5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  <w:gridCol w:w="2160"/>
      </w:tblGrid>
      <w:tr>
        <w:tblPrEx>
          <w:tblLayout w:type="fixed"/>
        </w:tblPrEx>
        <w:tc>
          <w:tcPr>
            <w:tcW w:w="6408" w:type="dxa"/>
          </w:tcPr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 w:eastAsia="宋体" w:cs="Times New Roman"/>
                <w:sz w:val="18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sz w:val="18"/>
          <w:szCs w:val="24"/>
        </w:rPr>
      </w:pPr>
    </w:p>
    <w:p>
      <w:pPr>
        <w:ind w:firstLine="5580" w:firstLineChars="3100"/>
        <w:rPr>
          <w:rFonts w:ascii="宋体" w:hAnsi="宋体" w:eastAsia="宋体" w:cs="Times New Roman"/>
          <w:sz w:val="18"/>
          <w:szCs w:val="24"/>
        </w:rPr>
      </w:pPr>
    </w:p>
    <w:p>
      <w:pPr>
        <w:ind w:right="418" w:rightChars="199" w:firstLine="5580" w:firstLineChars="3100"/>
        <w:rPr>
          <w:rFonts w:ascii="宋体" w:hAnsi="宋体" w:eastAsia="宋体" w:cs="Times New Roman"/>
          <w:sz w:val="18"/>
          <w:szCs w:val="24"/>
        </w:rPr>
      </w:pPr>
      <w:r>
        <w:rPr>
          <w:rFonts w:hint="eastAsia" w:ascii="宋体" w:hAnsi="宋体" w:eastAsia="宋体" w:cs="Times New Roman"/>
          <w:sz w:val="18"/>
          <w:szCs w:val="24"/>
        </w:rPr>
        <w:t xml:space="preserve">  </w:t>
      </w:r>
    </w:p>
    <w:p>
      <w:pPr>
        <w:jc w:val="center"/>
        <w:rPr>
          <w:rFonts w:ascii="宋体" w:hAnsi="宋体" w:eastAsia="宋体" w:cs="Times New Roman"/>
          <w:b/>
          <w:sz w:val="48"/>
          <w:szCs w:val="48"/>
        </w:rPr>
      </w:pPr>
      <w:r>
        <w:rPr>
          <w:rFonts w:ascii="宋体" w:hAnsi="宋体" w:eastAsia="宋体" w:cs="Times New Roman"/>
          <w:b/>
          <w:sz w:val="48"/>
          <w:szCs w:val="48"/>
        </w:rPr>
        <w:t>复旦大学博士生学术论坛之法学分论坛</w:t>
      </w:r>
    </w:p>
    <w:p>
      <w:pPr>
        <w:ind w:firstLine="2319" w:firstLineChars="1100"/>
        <w:rPr>
          <w:rFonts w:ascii="宋体" w:hAnsi="宋体" w:eastAsia="宋体" w:cs="Times New Roman"/>
          <w:b/>
          <w:bCs/>
          <w:szCs w:val="24"/>
        </w:rPr>
      </w:pPr>
    </w:p>
    <w:tbl>
      <w:tblPr>
        <w:tblStyle w:val="5"/>
        <w:tblW w:w="8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  <w:szCs w:val="24"/>
              </w:rPr>
            </w:pPr>
            <w:r>
              <w:rPr>
                <w:rFonts w:hint="eastAsia" w:ascii="宋体" w:hAnsi="宋体" w:eastAsia="宋体" w:cs="Times New Roman"/>
                <w:sz w:val="44"/>
                <w:szCs w:val="24"/>
              </w:rPr>
              <w:t xml:space="preserve"> 会  议  论  文</w:t>
            </w:r>
          </w:p>
        </w:tc>
      </w:tr>
    </w:tbl>
    <w:p>
      <w:pPr>
        <w:ind w:firstLine="602" w:firstLineChars="200"/>
        <w:rPr>
          <w:rFonts w:ascii="宋体" w:hAnsi="宋体" w:eastAsia="宋体" w:cs="Times New Roman"/>
          <w:sz w:val="32"/>
          <w:szCs w:val="24"/>
        </w:rPr>
      </w:pPr>
      <w:r>
        <w:rPr>
          <w:rFonts w:hint="eastAsia" w:ascii="宋体" w:hAnsi="宋体" w:eastAsia="宋体" w:cs="Times New Roman"/>
          <w:b/>
          <w:bCs/>
          <w:sz w:val="30"/>
          <w:szCs w:val="24"/>
        </w:rPr>
        <w:t xml:space="preserve">      </w:t>
      </w:r>
    </w:p>
    <w:p>
      <w:pPr>
        <w:rPr>
          <w:rFonts w:ascii="宋体" w:hAnsi="宋体" w:eastAsia="宋体" w:cs="Times New Roman"/>
          <w:b/>
          <w:bCs/>
          <w:sz w:val="30"/>
          <w:szCs w:val="24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jc w:val="center"/>
        <w:rPr>
          <w:rFonts w:ascii="宋体" w:hAnsi="宋体" w:eastAsia="宋体" w:cs="Times New Roman"/>
          <w:b/>
          <w:bCs/>
          <w:sz w:val="36"/>
          <w:szCs w:val="24"/>
          <w:u w:val="single"/>
        </w:rPr>
      </w:pP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>论文题目</w:t>
      </w:r>
    </w:p>
    <w:p>
      <w:pPr>
        <w:rPr>
          <w:rFonts w:ascii="宋体" w:hAnsi="宋体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spacing w:val="-16"/>
          <w:szCs w:val="24"/>
        </w:rPr>
      </w:pPr>
    </w:p>
    <w:p>
      <w:pPr>
        <w:jc w:val="center"/>
        <w:rPr>
          <w:rFonts w:ascii="宋体" w:hAnsi="宋体" w:eastAsia="宋体" w:cs="Times New Roman"/>
          <w:spacing w:val="-16"/>
          <w:szCs w:val="24"/>
        </w:rPr>
      </w:pPr>
    </w:p>
    <w:p>
      <w:pPr>
        <w:jc w:val="center"/>
        <w:rPr>
          <w:rFonts w:ascii="宋体" w:hAnsi="宋体" w:eastAsia="宋体" w:cs="Times New Roman"/>
          <w:spacing w:val="-16"/>
          <w:szCs w:val="24"/>
        </w:rPr>
      </w:pPr>
    </w:p>
    <w:p>
      <w:pPr>
        <w:jc w:val="center"/>
        <w:rPr>
          <w:rFonts w:ascii="宋体" w:hAnsi="宋体" w:eastAsia="宋体" w:cs="Times New Roman"/>
          <w:szCs w:val="24"/>
        </w:rPr>
      </w:pPr>
    </w:p>
    <w:p>
      <w:pPr>
        <w:jc w:val="center"/>
        <w:rPr>
          <w:rFonts w:ascii="宋体" w:hAnsi="宋体" w:eastAsia="宋体" w:cs="Times New Roman"/>
          <w:szCs w:val="24"/>
        </w:rPr>
      </w:pPr>
    </w:p>
    <w:tbl>
      <w:tblPr>
        <w:tblStyle w:val="5"/>
        <w:tblW w:w="85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2"/>
        <w:gridCol w:w="4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2" w:type="dxa"/>
          </w:tcPr>
          <w:p>
            <w:pPr>
              <w:wordWrap w:val="0"/>
              <w:ind w:firstLine="280" w:firstLineChars="100"/>
              <w:jc w:val="right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单       位：</w:t>
            </w:r>
          </w:p>
        </w:tc>
        <w:tc>
          <w:tcPr>
            <w:tcW w:w="4503" w:type="dxa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2" w:type="dxa"/>
          </w:tcPr>
          <w:p>
            <w:pPr>
              <w:ind w:firstLine="280" w:firstLineChars="100"/>
              <w:jc w:val="right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 xml:space="preserve">研 究 方 向：          </w:t>
            </w:r>
          </w:p>
        </w:tc>
        <w:tc>
          <w:tcPr>
            <w:tcW w:w="4503" w:type="dxa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2" w:type="dxa"/>
          </w:tcPr>
          <w:p>
            <w:pPr>
              <w:ind w:firstLine="280" w:firstLineChars="100"/>
              <w:jc w:val="right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姓       名：</w:t>
            </w:r>
          </w:p>
        </w:tc>
        <w:tc>
          <w:tcPr>
            <w:tcW w:w="4503" w:type="dxa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2" w:type="dxa"/>
          </w:tcPr>
          <w:p>
            <w:pPr>
              <w:ind w:firstLine="280" w:firstLineChars="100"/>
              <w:jc w:val="right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 xml:space="preserve">联 系 方 式：         </w:t>
            </w:r>
          </w:p>
        </w:tc>
        <w:tc>
          <w:tcPr>
            <w:tcW w:w="4503" w:type="dxa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2" w:type="dxa"/>
          </w:tcPr>
          <w:p>
            <w:pPr>
              <w:ind w:firstLine="280" w:firstLineChars="100"/>
              <w:jc w:val="right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 xml:space="preserve">电 子 邮 箱：         </w:t>
            </w:r>
          </w:p>
        </w:tc>
        <w:tc>
          <w:tcPr>
            <w:tcW w:w="4503" w:type="dxa"/>
          </w:tcPr>
          <w:p>
            <w:pPr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062" w:type="dxa"/>
          </w:tcPr>
          <w:p>
            <w:pPr>
              <w:ind w:firstLine="284" w:firstLineChars="100"/>
              <w:jc w:val="right"/>
              <w:rPr>
                <w:rFonts w:ascii="宋体" w:hAnsi="宋体" w:eastAsia="宋体" w:cs="Times New Roman"/>
                <w:spacing w:val="2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"/>
                <w:sz w:val="28"/>
                <w:szCs w:val="24"/>
              </w:rPr>
              <w:t>完 成 日 期</w:t>
            </w: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pacing w:val="2"/>
                <w:sz w:val="28"/>
                <w:szCs w:val="24"/>
              </w:rPr>
              <w:t xml:space="preserve">          </w:t>
            </w:r>
          </w:p>
        </w:tc>
        <w:tc>
          <w:tcPr>
            <w:tcW w:w="4503" w:type="dxa"/>
          </w:tcPr>
          <w:p>
            <w:pPr>
              <w:ind w:firstLine="700" w:firstLineChars="250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年  月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color w:val="000000"/>
          <w:sz w:val="24"/>
          <w:szCs w:val="21"/>
        </w:rPr>
      </w:pPr>
      <w:r>
        <w:rPr>
          <w:rFonts w:ascii="宋体" w:hAnsi="宋体" w:eastAsia="宋体" w:cs="宋体"/>
          <w:kern w:val="0"/>
          <w:szCs w:val="21"/>
        </w:rPr>
        <w:br w:type="page"/>
      </w:r>
    </w:p>
    <w:p>
      <w:pPr>
        <w:rPr>
          <w:rFonts w:hint="eastAsia"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附件三、</w:t>
      </w:r>
      <w:r>
        <w:rPr>
          <w:rFonts w:ascii="Times New Roman" w:hAnsi="Times New Roman" w:eastAsia="宋体" w:cs="Times New Roman"/>
          <w:b/>
          <w:szCs w:val="24"/>
        </w:rPr>
        <w:t>注释示例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一、非连续出版物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（一）普通图书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1.著（译）作、工具书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李昌道：《美国宪法史稿》，法律出版社</w:t>
      </w:r>
      <w:r>
        <w:rPr>
          <w:rFonts w:cs="Times New Roman" w:asciiTheme="minorEastAsia" w:hAnsiTheme="minorEastAsia"/>
          <w:color w:val="003366"/>
          <w:sz w:val="18"/>
          <w:szCs w:val="18"/>
        </w:rPr>
        <w:t>1986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14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叶孝信（主编）：《中国民法史》，上海人民出版社</w:t>
      </w:r>
      <w:r>
        <w:rPr>
          <w:rFonts w:cs="Times New Roman" w:asciiTheme="minorEastAsia" w:hAnsiTheme="minorEastAsia"/>
          <w:color w:val="003366"/>
          <w:sz w:val="18"/>
          <w:szCs w:val="18"/>
        </w:rPr>
        <w:t>1993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25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约翰·</w:t>
      </w:r>
      <w:r>
        <w:rPr>
          <w:rFonts w:cs="Times New Roman" w:asciiTheme="minorEastAsia" w:hAnsiTheme="minorEastAsia"/>
          <w:color w:val="003366"/>
          <w:sz w:val="18"/>
          <w:szCs w:val="18"/>
        </w:rPr>
        <w:t>H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·杰克逊：《世界贸易体制》，张乃根译，复旦大学出版社</w:t>
      </w:r>
      <w:r>
        <w:rPr>
          <w:rFonts w:cs="Times New Roman" w:asciiTheme="minorEastAsia" w:hAnsiTheme="minorEastAsia"/>
          <w:color w:val="003366"/>
          <w:sz w:val="18"/>
          <w:szCs w:val="18"/>
        </w:rPr>
        <w:t>2001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283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《辞海》，上海辞书出版社</w:t>
      </w:r>
      <w:r>
        <w:rPr>
          <w:rFonts w:cs="Times New Roman" w:asciiTheme="minorEastAsia" w:hAnsiTheme="minorEastAsia"/>
          <w:color w:val="003366"/>
          <w:sz w:val="18"/>
          <w:szCs w:val="18"/>
        </w:rPr>
        <w:t>1979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932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2.析出文献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刘士国：《患者隐私权：患者自己决定权与个人信息控制权》，刘士国（主编）：《医事法前沿问题研究》，中国法制出版社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100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郭建、姚少杰：《倚当、抵当考》，杨一凡（总主编）：《中国法制史考证》（甲编）第五卷，中国社会科学出版社</w:t>
      </w:r>
      <w:r>
        <w:rPr>
          <w:rFonts w:cs="Times New Roman" w:asciiTheme="minorEastAsia" w:hAnsiTheme="minorEastAsia"/>
          <w:color w:val="003366"/>
          <w:sz w:val="18"/>
          <w:szCs w:val="18"/>
        </w:rPr>
        <w:t>2003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192-225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（二）古籍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1.常用古籍（二十五史、诸子等）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《史记》卷八七《李斯列传》。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《孟子·公孙丑上》。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2.其他一般古籍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《文献通考》卷一六七《刑考·刑制》。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黄六鸿：《福惠全书》卷十七“刑名部”，康熙三十八年濂溪书屋本。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吴宏：《纸上经纶》卷一“休邑乡村等事”，《明清公牍秘本五种》，郭成伟、田涛点校整理（据康熙六十年刻本），中国政法大学出版社</w:t>
      </w:r>
      <w:r>
        <w:rPr>
          <w:rFonts w:cs="Times New Roman" w:asciiTheme="minorEastAsia" w:hAnsiTheme="minorEastAsia"/>
          <w:color w:val="003366"/>
          <w:sz w:val="18"/>
          <w:szCs w:val="18"/>
        </w:rPr>
        <w:t>1999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158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二、连续出版物中析出文献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（一）期刊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孙笑侠、郭春镇：《法律父爱主义在中国的适用》</w:t>
      </w:r>
      <w:r>
        <w:rPr>
          <w:rFonts w:cs="Times New Roman" w:asciiTheme="minorEastAsia" w:hAnsiTheme="minorEastAsia"/>
          <w:color w:val="003366"/>
          <w:sz w:val="18"/>
          <w:szCs w:val="18"/>
        </w:rPr>
        <w:t>,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《中国社会科学》</w:t>
      </w:r>
      <w:r>
        <w:rPr>
          <w:rFonts w:cs="Times New Roman" w:asciiTheme="minorEastAsia" w:hAnsiTheme="minorEastAsia"/>
          <w:color w:val="003366"/>
          <w:sz w:val="18"/>
          <w:szCs w:val="18"/>
        </w:rPr>
        <w:t>2006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期，第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49-50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段匡：《日本的民法解释学》（五），梁慧星（主编）：《民商法论丛》第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20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卷，金桥文化出版（香港）有限公司</w:t>
      </w:r>
      <w:r>
        <w:rPr>
          <w:rFonts w:cs="Times New Roman" w:asciiTheme="minorEastAsia" w:hAnsiTheme="minorEastAsia"/>
          <w:color w:val="003366"/>
          <w:sz w:val="18"/>
          <w:szCs w:val="18"/>
        </w:rPr>
        <w:t>2001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年版，第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332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（二）报纸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章武生：《把司法改革作为政治体制改革的突破口》，《社会科学报》</w:t>
      </w:r>
      <w:r>
        <w:rPr>
          <w:rFonts w:cs="Times New Roman" w:asciiTheme="minorEastAsia" w:hAnsiTheme="minorEastAsia"/>
          <w:color w:val="003366"/>
          <w:sz w:val="18"/>
          <w:szCs w:val="18"/>
        </w:rPr>
        <w:t>2007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</w:t>
      </w:r>
      <w:r>
        <w:rPr>
          <w:rFonts w:cs="Times New Roman" w:asciiTheme="minorEastAsia" w:hAnsiTheme="minorEastAsia"/>
          <w:color w:val="003366"/>
          <w:sz w:val="18"/>
          <w:szCs w:val="18"/>
        </w:rPr>
        <w:t>10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月</w:t>
      </w:r>
      <w:r>
        <w:rPr>
          <w:rFonts w:cs="Times New Roman" w:asciiTheme="minorEastAsia" w:hAnsiTheme="minorEastAsia"/>
          <w:color w:val="003366"/>
          <w:sz w:val="18"/>
          <w:szCs w:val="18"/>
        </w:rPr>
        <w:t>11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日，第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3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版。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《关于司法问题之简示》，《申报》1912年1月9日，第２张第２版。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三、法律法规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《中华人民共和国宪法》第六十七条。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《中华人民共和国物权法》第一百零六条第（二）款。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《土地复垦条例》第十二条。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《最高人民法院关于开展行政诉讼简易程序试点工作的通知》，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2010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年，最高人民法院法（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2010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）</w:t>
      </w:r>
      <w:r>
        <w:rPr>
          <w:rFonts w:cs="Times New Roman" w:asciiTheme="minorEastAsia" w:hAnsiTheme="minorEastAsia"/>
          <w:color w:val="003366"/>
          <w:sz w:val="18"/>
          <w:szCs w:val="18"/>
        </w:rPr>
        <w:t>446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号，第一条。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国家发展和改革委员会等：《关于开展全国高尔夫球场综合清理整治工作的通知》，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年，发改社会[2011]</w:t>
      </w:r>
      <w:r>
        <w:rPr>
          <w:rFonts w:cs="Times New Roman" w:asciiTheme="minorEastAsia" w:hAnsiTheme="minorEastAsia"/>
          <w:color w:val="003366"/>
          <w:sz w:val="18"/>
          <w:szCs w:val="18"/>
        </w:rPr>
        <w:t>741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号，第二条第（一）项。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《上海市环境保护条例》，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年，第十六条。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四、未公开出版文献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（一）档案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《龙方案》，乾隆元年（</w:t>
      </w:r>
      <w:r>
        <w:rPr>
          <w:rFonts w:cs="Times New Roman" w:asciiTheme="minorEastAsia" w:hAnsiTheme="minorEastAsia"/>
          <w:color w:val="003366"/>
          <w:sz w:val="18"/>
          <w:szCs w:val="18"/>
        </w:rPr>
        <w:t>1736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），刑科题本</w:t>
      </w:r>
      <w:r>
        <w:rPr>
          <w:rFonts w:cs="Times New Roman" w:asciiTheme="minorEastAsia" w:hAnsiTheme="minorEastAsia"/>
          <w:color w:val="003366"/>
          <w:sz w:val="18"/>
          <w:szCs w:val="18"/>
        </w:rPr>
        <w:t>2-1-7-4300-2-544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；藏中国第一历史档案馆。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《季有祥诉季有为案·堂谕》，</w:t>
      </w:r>
      <w:r>
        <w:rPr>
          <w:rFonts w:cs="Times New Roman" w:asciiTheme="minorEastAsia" w:hAnsiTheme="minorEastAsia"/>
          <w:color w:val="003366"/>
          <w:sz w:val="18"/>
          <w:szCs w:val="18"/>
        </w:rPr>
        <w:t>1912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</w:t>
      </w:r>
      <w:r>
        <w:rPr>
          <w:rFonts w:cs="Times New Roman" w:asciiTheme="minorEastAsia" w:hAnsiTheme="minorEastAsia"/>
          <w:color w:val="003366"/>
          <w:sz w:val="18"/>
          <w:szCs w:val="18"/>
        </w:rPr>
        <w:t>8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月，龙泉司法档案</w:t>
      </w:r>
      <w:r>
        <w:rPr>
          <w:rFonts w:cs="Times New Roman" w:asciiTheme="minorEastAsia" w:hAnsiTheme="minorEastAsia"/>
          <w:color w:val="003366"/>
          <w:sz w:val="18"/>
          <w:szCs w:val="18"/>
        </w:rPr>
        <w:t>M003-01-16316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，第３页，藏浙江龙泉市档案馆。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（二）稿本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《松江正定二府三案笔录》，乾隆抄本，不注页码；藏上海图书馆（</w:t>
      </w:r>
      <w:r>
        <w:rPr>
          <w:rFonts w:cs="Times New Roman" w:asciiTheme="minorEastAsia" w:hAnsiTheme="minorEastAsia"/>
          <w:color w:val="003366"/>
          <w:sz w:val="18"/>
          <w:szCs w:val="18"/>
        </w:rPr>
        <w:t>465988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）。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（三）学位论文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董茂云：《法典法与判例法比较研究》，中国人民大学博士学位论文，</w:t>
      </w:r>
      <w:r>
        <w:rPr>
          <w:rFonts w:cs="Times New Roman" w:asciiTheme="minorEastAsia" w:hAnsiTheme="minorEastAsia"/>
          <w:color w:val="003366"/>
          <w:sz w:val="18"/>
          <w:szCs w:val="18"/>
        </w:rPr>
        <w:t>1997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年，第</w:t>
      </w:r>
      <w:r>
        <w:rPr>
          <w:rFonts w:cs="Times New Roman" w:asciiTheme="minorEastAsia" w:hAnsiTheme="minorEastAsia"/>
          <w:color w:val="003366"/>
          <w:sz w:val="18"/>
          <w:szCs w:val="18"/>
        </w:rPr>
        <w:t>85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五、电子文献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贾楠：《环保部将对六大行业执行大气污染物特别排放限值》（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2013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</w:t>
      </w:r>
      <w:r>
        <w:rPr>
          <w:rFonts w:cs="Times New Roman" w:asciiTheme="minorEastAsia" w:hAnsiTheme="minorEastAsia"/>
          <w:color w:val="003366"/>
          <w:sz w:val="18"/>
          <w:szCs w:val="18"/>
        </w:rPr>
        <w:t>3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月</w:t>
      </w:r>
      <w:r>
        <w:rPr>
          <w:rFonts w:cs="Times New Roman" w:asciiTheme="minorEastAsia" w:hAnsiTheme="minorEastAsia"/>
          <w:color w:val="003366"/>
          <w:sz w:val="18"/>
          <w:szCs w:val="18"/>
        </w:rPr>
        <w:t>6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日），</w:t>
      </w:r>
      <w:r>
        <w:rPr>
          <w:rFonts w:cs="Times New Roman" w:asciiTheme="minorEastAsia" w:hAnsiTheme="minorEastAsia"/>
          <w:color w:val="003366"/>
          <w:sz w:val="18"/>
          <w:szCs w:val="18"/>
        </w:rPr>
        <w:t>http://news.xinhuanet.com/politics/2013-03/06/c_114916591.htm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《最高人民法院发布第一批指导性案例》（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</w:t>
      </w:r>
      <w:r>
        <w:rPr>
          <w:rFonts w:cs="Times New Roman" w:asciiTheme="minorEastAsia" w:hAnsiTheme="minorEastAsia"/>
          <w:color w:val="003366"/>
          <w:sz w:val="18"/>
          <w:szCs w:val="18"/>
        </w:rPr>
        <w:t>12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月</w:t>
      </w:r>
      <w:r>
        <w:rPr>
          <w:rFonts w:cs="Times New Roman" w:asciiTheme="minorEastAsia" w:hAnsiTheme="minorEastAsia"/>
          <w:color w:val="003366"/>
          <w:sz w:val="18"/>
          <w:szCs w:val="18"/>
        </w:rPr>
        <w:t>20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日），</w:t>
      </w:r>
      <w:r>
        <w:rPr>
          <w:rFonts w:cs="Times New Roman" w:asciiTheme="minorEastAsia" w:hAnsiTheme="minorEastAsia"/>
          <w:color w:val="003366"/>
          <w:sz w:val="18"/>
          <w:szCs w:val="18"/>
        </w:rPr>
        <w:t>http://www.court.gov.cn/xwzx/fyxw/zgrmfyxw/201112/t20111220_168538.htm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《〈刑诉法〉大修</w:t>
      </w:r>
      <w:r>
        <w:rPr>
          <w:rFonts w:cs="Times New Roman" w:asciiTheme="minorEastAsia" w:hAnsiTheme="minorEastAsia"/>
          <w:color w:val="003366"/>
          <w:sz w:val="18"/>
          <w:szCs w:val="18"/>
        </w:rPr>
        <w:t> 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将改变你身边哪些事</w:t>
      </w:r>
      <w:r>
        <w:rPr>
          <w:rFonts w:cs="Times New Roman" w:asciiTheme="minorEastAsia" w:hAnsiTheme="minorEastAsia"/>
          <w:color w:val="003366"/>
          <w:sz w:val="18"/>
          <w:szCs w:val="18"/>
        </w:rPr>
        <w:t> 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陈浩然：变相刑讯逼供还需明确禁止》（视频，“东南卫视”</w:t>
      </w:r>
      <w:r>
        <w:rPr>
          <w:rFonts w:cs="Times New Roman" w:asciiTheme="minorEastAsia" w:hAnsiTheme="minorEastAsia"/>
          <w:color w:val="003366"/>
          <w:sz w:val="18"/>
          <w:szCs w:val="18"/>
        </w:rPr>
        <w:t>2011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年</w:t>
      </w:r>
      <w:r>
        <w:rPr>
          <w:rFonts w:cs="Times New Roman" w:asciiTheme="minorEastAsia" w:hAnsiTheme="minorEastAsia"/>
          <w:color w:val="003366"/>
          <w:sz w:val="18"/>
          <w:szCs w:val="18"/>
        </w:rPr>
        <w:t>9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月</w:t>
      </w:r>
      <w:r>
        <w:rPr>
          <w:rFonts w:cs="Times New Roman" w:asciiTheme="minorEastAsia" w:hAnsiTheme="minorEastAsia"/>
          <w:color w:val="003366"/>
          <w:sz w:val="18"/>
          <w:szCs w:val="18"/>
        </w:rPr>
        <w:t>4</w:t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日），</w:t>
      </w:r>
      <w:r>
        <w:fldChar w:fldCharType="begin"/>
      </w:r>
      <w:r>
        <w:instrText xml:space="preserve"> HYPERLINK "http://video.sina.com.cn/v/b/60258143-1802550421.html" </w:instrText>
      </w:r>
      <w:r>
        <w:fldChar w:fldCharType="separate"/>
      </w:r>
      <w:r>
        <w:rPr>
          <w:rFonts w:cs="Times New Roman" w:asciiTheme="minorEastAsia" w:hAnsiTheme="minorEastAsia"/>
          <w:color w:val="003366"/>
          <w:sz w:val="18"/>
          <w:szCs w:val="18"/>
        </w:rPr>
        <w:t>http://video.sina.com.cn/v/b/60258143-1802550421.html</w:t>
      </w:r>
      <w:r>
        <w:rPr>
          <w:rFonts w:cs="Times New Roman" w:asciiTheme="minorEastAsia" w:hAnsiTheme="minorEastAsia"/>
          <w:color w:val="003366"/>
          <w:sz w:val="18"/>
          <w:szCs w:val="18"/>
        </w:rPr>
        <w:fldChar w:fldCharType="end"/>
      </w:r>
      <w:r>
        <w:rPr>
          <w:rFonts w:hint="eastAsia" w:cs="Times New Roman" w:asciiTheme="minorEastAsia" w:hAnsiTheme="minorEastAsia"/>
          <w:color w:val="003366"/>
          <w:sz w:val="18"/>
          <w:szCs w:val="18"/>
        </w:rPr>
        <w:t>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cs="Times New Roman" w:asciiTheme="minorEastAsia" w:hAnsiTheme="minorEastAsia"/>
          <w:color w:val="003366"/>
          <w:sz w:val="18"/>
          <w:szCs w:val="18"/>
        </w:rPr>
        <w:t> 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六、交叉引用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前引[2]，第38页。</w:t>
      </w:r>
    </w:p>
    <w:p>
      <w:pPr>
        <w:ind w:left="361" w:leftChars="172"/>
        <w:rPr>
          <w:rFonts w:hint="eastAsia" w:cs="Times New Roman" w:asciiTheme="minorEastAsia" w:hAnsiTheme="minorEastAsia"/>
          <w:color w:val="003366"/>
          <w:sz w:val="18"/>
          <w:szCs w:val="18"/>
        </w:rPr>
      </w:pPr>
      <w:r>
        <w:rPr>
          <w:rFonts w:hint="eastAsia" w:cs="Times New Roman" w:asciiTheme="minorEastAsia" w:hAnsiTheme="minorEastAsia"/>
          <w:color w:val="003366"/>
          <w:sz w:val="18"/>
          <w:szCs w:val="18"/>
        </w:rPr>
        <w:t>同上，第480页。</w:t>
      </w:r>
    </w:p>
    <w:p>
      <w:pPr>
        <w:ind w:left="361" w:leftChars="172"/>
        <w:rPr>
          <w:rFonts w:cs="Times New Roman" w:asciiTheme="minorEastAsia" w:hAnsiTheme="minorEastAsia"/>
          <w:color w:val="003366"/>
          <w:sz w:val="18"/>
          <w:szCs w:val="1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B5"/>
    <w:rsid w:val="00072733"/>
    <w:rsid w:val="00090572"/>
    <w:rsid w:val="00110698"/>
    <w:rsid w:val="00134EC7"/>
    <w:rsid w:val="00182173"/>
    <w:rsid w:val="001C5AE2"/>
    <w:rsid w:val="00216468"/>
    <w:rsid w:val="00311266"/>
    <w:rsid w:val="00334288"/>
    <w:rsid w:val="00373DA0"/>
    <w:rsid w:val="003964B1"/>
    <w:rsid w:val="003B6EF2"/>
    <w:rsid w:val="003C6816"/>
    <w:rsid w:val="003F161B"/>
    <w:rsid w:val="0047060F"/>
    <w:rsid w:val="004866B5"/>
    <w:rsid w:val="004E5FBD"/>
    <w:rsid w:val="005565DC"/>
    <w:rsid w:val="00612EEC"/>
    <w:rsid w:val="00647C81"/>
    <w:rsid w:val="00707162"/>
    <w:rsid w:val="0077001C"/>
    <w:rsid w:val="00793BAA"/>
    <w:rsid w:val="007C7DDA"/>
    <w:rsid w:val="00884994"/>
    <w:rsid w:val="008E2CEA"/>
    <w:rsid w:val="008F08C8"/>
    <w:rsid w:val="00957274"/>
    <w:rsid w:val="00A72E96"/>
    <w:rsid w:val="00B247C0"/>
    <w:rsid w:val="00B31D2E"/>
    <w:rsid w:val="00C07481"/>
    <w:rsid w:val="00C562C7"/>
    <w:rsid w:val="00CB389F"/>
    <w:rsid w:val="00DC50C8"/>
    <w:rsid w:val="00DD1CA8"/>
    <w:rsid w:val="00DE05D5"/>
    <w:rsid w:val="00E32160"/>
    <w:rsid w:val="00E34570"/>
    <w:rsid w:val="00E84DAD"/>
    <w:rsid w:val="00E91535"/>
    <w:rsid w:val="00EE1E7A"/>
    <w:rsid w:val="00F008E5"/>
    <w:rsid w:val="1DFE2DD8"/>
    <w:rsid w:val="32D026A8"/>
    <w:rsid w:val="4CC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1701</Words>
  <Characters>2040</Characters>
  <Lines>50</Lines>
  <Paragraphs>16</Paragraphs>
  <TotalTime>53</TotalTime>
  <ScaleCrop>false</ScaleCrop>
  <LinksUpToDate>false</LinksUpToDate>
  <CharactersWithSpaces>2139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2018-04-13T05:47:00Z</dcterms:created>
  <dc:creator>Microsoft Office 用户</dc:creator>
  <cp:lastModifiedBy>admin</cp:lastModifiedBy>
  <cp:lastPrinted>2018-04-28T02:25:00Z</cp:lastPrinted>
  <dcterms:modified xsi:type="dcterms:W3CDTF">2018-05-02T07:25:18Z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