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sz w:val="36"/>
          <w:szCs w:val="36"/>
        </w:rPr>
      </w:pPr>
      <w:r>
        <w:rPr>
          <w:rFonts w:hint="eastAsia"/>
          <w:sz w:val="36"/>
          <w:szCs w:val="36"/>
        </w:rPr>
        <w:t>2018年复旦大学法学院优秀大学生夏令营活动通知</w:t>
      </w:r>
    </w:p>
    <w:p>
      <w:pPr>
        <w:spacing w:line="660" w:lineRule="exact"/>
        <w:ind w:firstLine="420"/>
        <w:jc w:val="left"/>
        <w:rPr>
          <w:szCs w:val="21"/>
        </w:rPr>
      </w:pPr>
    </w:p>
    <w:p>
      <w:pPr>
        <w:spacing w:line="660" w:lineRule="exact"/>
        <w:ind w:firstLine="420"/>
        <w:jc w:val="left"/>
        <w:rPr>
          <w:szCs w:val="21"/>
        </w:rPr>
      </w:pPr>
      <w:r>
        <w:rPr>
          <w:rFonts w:hint="eastAsia"/>
          <w:szCs w:val="21"/>
        </w:rPr>
        <w:t>复旦大学法学院优秀大学生夏令营旨在增进全国各高校优秀大学生之间的交流与沟通，并通过多维度的考核选拔出优秀大学生。学生们在“夏令营”期间的表现，将作为选拔2019年法学硕士推荐免试研究生的重要参考依据。</w:t>
      </w:r>
      <w:r>
        <w:rPr>
          <w:rFonts w:hint="eastAsia" w:ascii="宋体" w:hAnsi="宋体" w:cs="宋体"/>
          <w:szCs w:val="21"/>
          <w:shd w:val="clear" w:color="auto" w:fill="FFFFFF"/>
        </w:rPr>
        <w:t>教育部如对2019年招收推免研究生的办法进行调整，以教育部政策为准。</w:t>
      </w:r>
    </w:p>
    <w:p>
      <w:pPr>
        <w:spacing w:line="660" w:lineRule="exact"/>
        <w:ind w:firstLine="420"/>
        <w:jc w:val="left"/>
        <w:rPr>
          <w:szCs w:val="21"/>
        </w:rPr>
      </w:pPr>
      <w:r>
        <w:rPr>
          <w:rFonts w:hint="eastAsia"/>
          <w:szCs w:val="21"/>
        </w:rPr>
        <w:t>本年度夏令营拟于2018年6月</w:t>
      </w:r>
      <w:r>
        <w:rPr>
          <w:szCs w:val="21"/>
        </w:rPr>
        <w:t>29</w:t>
      </w:r>
      <w:r>
        <w:rPr>
          <w:rFonts w:hint="eastAsia"/>
          <w:szCs w:val="21"/>
        </w:rPr>
        <w:t>日至7月1日在复旦大学江湾校区举办。</w:t>
      </w:r>
    </w:p>
    <w:p>
      <w:pPr>
        <w:spacing w:line="660" w:lineRule="exact"/>
        <w:jc w:val="center"/>
        <w:rPr>
          <w:b/>
          <w:bCs/>
          <w:sz w:val="28"/>
          <w:szCs w:val="28"/>
        </w:rPr>
      </w:pPr>
      <w:r>
        <w:rPr>
          <w:rFonts w:hint="eastAsia"/>
          <w:b/>
          <w:bCs/>
          <w:sz w:val="28"/>
          <w:szCs w:val="28"/>
        </w:rPr>
        <w:t>申请流程</w:t>
      </w:r>
    </w:p>
    <w:p>
      <w:pPr>
        <w:spacing w:line="660" w:lineRule="exact"/>
        <w:jc w:val="left"/>
        <w:rPr>
          <w:b/>
          <w:bCs/>
          <w:szCs w:val="21"/>
        </w:rPr>
      </w:pPr>
      <w:r>
        <w:rPr>
          <w:rFonts w:hint="eastAsia"/>
          <w:b/>
          <w:bCs/>
          <w:szCs w:val="21"/>
        </w:rPr>
        <w:t>一、申请资格</w:t>
      </w:r>
    </w:p>
    <w:p>
      <w:pPr>
        <w:spacing w:line="660" w:lineRule="exact"/>
        <w:jc w:val="left"/>
        <w:rPr>
          <w:szCs w:val="21"/>
        </w:rPr>
      </w:pPr>
      <w:r>
        <w:rPr>
          <w:rFonts w:hint="eastAsia"/>
          <w:szCs w:val="21"/>
        </w:rPr>
        <w:t>（1）拥护中国共产党的领导，愿为社会主义现代化建设服务，品德良好，遵纪守法，所在高校须具有教育部认可的推荐免试资质，且能取得所在高校推荐免试资格的优秀应届本科毕业生；</w:t>
      </w:r>
    </w:p>
    <w:p>
      <w:pPr>
        <w:spacing w:line="660" w:lineRule="exact"/>
        <w:jc w:val="left"/>
        <w:rPr>
          <w:szCs w:val="21"/>
        </w:rPr>
      </w:pPr>
      <w:r>
        <w:rPr>
          <w:rFonts w:hint="eastAsia"/>
          <w:szCs w:val="21"/>
        </w:rPr>
        <w:t>（2）在校法学及其相关专业三年级本科学生（2019届应届本科毕业生）, 非法学专业学生应具备一定的法学基础，或者辅修过相关法学课程。学术研究兴趣浓厚，有较强的创新意识、创新能力和专业能力倾向；</w:t>
      </w:r>
    </w:p>
    <w:p>
      <w:pPr>
        <w:spacing w:line="660" w:lineRule="exact"/>
        <w:jc w:val="left"/>
        <w:rPr>
          <w:szCs w:val="21"/>
        </w:rPr>
      </w:pPr>
      <w:r>
        <w:rPr>
          <w:rFonts w:hint="eastAsia"/>
          <w:szCs w:val="21"/>
        </w:rPr>
        <w:t>（3）诚实守信，学风端正，无任何考试作弊、剽窃他人学术成果以及其他违法违纪受处分记录；</w:t>
      </w:r>
    </w:p>
    <w:p>
      <w:pPr>
        <w:spacing w:line="660" w:lineRule="exact"/>
        <w:jc w:val="left"/>
        <w:rPr>
          <w:szCs w:val="21"/>
        </w:rPr>
      </w:pPr>
      <w:r>
        <w:rPr>
          <w:rFonts w:hint="eastAsia"/>
          <w:szCs w:val="21"/>
        </w:rPr>
        <w:t>（4）本科就读于985高校或5大政法院校，学习成绩突出，专业成绩排名应在</w:t>
      </w:r>
      <w:r>
        <w:rPr>
          <w:rFonts w:hint="eastAsia"/>
          <w:bCs/>
          <w:szCs w:val="21"/>
        </w:rPr>
        <w:t>前</w:t>
      </w:r>
      <w:r>
        <w:rPr>
          <w:bCs/>
          <w:szCs w:val="21"/>
        </w:rPr>
        <w:t>30</w:t>
      </w:r>
      <w:r>
        <w:rPr>
          <w:rFonts w:hint="eastAsia"/>
          <w:bCs/>
          <w:szCs w:val="21"/>
        </w:rPr>
        <w:t>%以内；</w:t>
      </w:r>
    </w:p>
    <w:p>
      <w:pPr>
        <w:spacing w:line="660" w:lineRule="exact"/>
        <w:jc w:val="left"/>
        <w:rPr>
          <w:szCs w:val="21"/>
        </w:rPr>
      </w:pPr>
      <w:r>
        <w:rPr>
          <w:rFonts w:hint="eastAsia"/>
          <w:szCs w:val="21"/>
        </w:rPr>
        <w:t>（5）英语水平较高（原则上要求</w:t>
      </w:r>
      <w:r>
        <w:rPr>
          <w:rFonts w:hint="eastAsia"/>
          <w:bCs/>
          <w:szCs w:val="21"/>
        </w:rPr>
        <w:t>大学英语六级考试成绩500分以上或相当水平</w:t>
      </w:r>
      <w:r>
        <w:rPr>
          <w:rFonts w:hint="eastAsia"/>
          <w:szCs w:val="21"/>
        </w:rPr>
        <w:t>），</w:t>
      </w:r>
      <w:r>
        <w:rPr>
          <w:szCs w:val="21"/>
        </w:rPr>
        <w:t>或其他语种达到相当水平</w:t>
      </w:r>
      <w:r>
        <w:rPr>
          <w:rFonts w:hint="eastAsia"/>
          <w:szCs w:val="21"/>
        </w:rPr>
        <w:t>。</w:t>
      </w:r>
    </w:p>
    <w:p>
      <w:pPr>
        <w:spacing w:line="660" w:lineRule="exact"/>
        <w:jc w:val="left"/>
        <w:rPr>
          <w:b/>
          <w:bCs/>
          <w:szCs w:val="21"/>
        </w:rPr>
      </w:pPr>
      <w:r>
        <w:rPr>
          <w:rFonts w:hint="eastAsia"/>
          <w:b/>
          <w:bCs/>
          <w:szCs w:val="21"/>
        </w:rPr>
        <w:t>二、申请方式及申请时间</w:t>
      </w:r>
    </w:p>
    <w:p>
      <w:pPr>
        <w:spacing w:line="660" w:lineRule="exact"/>
        <w:jc w:val="left"/>
        <w:rPr>
          <w:szCs w:val="21"/>
        </w:rPr>
      </w:pPr>
      <w:r>
        <w:rPr>
          <w:rFonts w:hint="eastAsia"/>
          <w:szCs w:val="21"/>
        </w:rPr>
        <w:t>　　凡参加夏令营活动的学生，必须通过《复旦大学研究生报考服务系统》中的《全国优秀大学生夏令营申请选拔》系统，进行网上申请（从复旦大学研究生招生网(http://www.gsao.fudan.edu.cn/)登录即可）。《夏令营申请选拔》系统开放</w:t>
      </w:r>
      <w:r>
        <w:rPr>
          <w:rFonts w:hint="eastAsia"/>
          <w:bCs/>
          <w:szCs w:val="21"/>
        </w:rPr>
        <w:t>起始时间为2018年5月7日，终止时间为5月31日</w:t>
      </w:r>
      <w:r>
        <w:rPr>
          <w:rFonts w:hint="eastAsia"/>
          <w:szCs w:val="21"/>
        </w:rPr>
        <w:t>。　　</w:t>
      </w:r>
    </w:p>
    <w:p>
      <w:pPr>
        <w:numPr>
          <w:ilvl w:val="0"/>
          <w:numId w:val="1"/>
        </w:numPr>
        <w:spacing w:line="660" w:lineRule="exact"/>
        <w:jc w:val="left"/>
        <w:rPr>
          <w:b/>
          <w:bCs/>
          <w:szCs w:val="21"/>
        </w:rPr>
      </w:pPr>
      <w:r>
        <w:rPr>
          <w:rFonts w:hint="eastAsia"/>
          <w:b/>
          <w:bCs/>
          <w:szCs w:val="21"/>
        </w:rPr>
        <w:t>材料递交</w:t>
      </w:r>
    </w:p>
    <w:p>
      <w:pPr>
        <w:spacing w:line="660" w:lineRule="exact"/>
        <w:jc w:val="left"/>
        <w:rPr>
          <w:szCs w:val="21"/>
        </w:rPr>
      </w:pPr>
      <w:r>
        <w:rPr>
          <w:rFonts w:hint="eastAsia"/>
          <w:szCs w:val="21"/>
        </w:rPr>
        <w:t>（1）《复旦大学全国优秀大学生夏令营申请表》1份（提交原件）；</w:t>
      </w:r>
      <w:r>
        <w:rPr>
          <w:rFonts w:hint="eastAsia"/>
          <w:szCs w:val="21"/>
        </w:rPr>
        <w:br w:type="textWrapping"/>
      </w:r>
      <w:r>
        <w:rPr>
          <w:rFonts w:hint="eastAsia"/>
          <w:szCs w:val="21"/>
        </w:rPr>
        <w:t>（2）副教授以上职称的专家推荐信两封（提交原件）；</w:t>
      </w:r>
    </w:p>
    <w:p>
      <w:pPr>
        <w:spacing w:line="660" w:lineRule="exact"/>
        <w:ind w:left="420" w:hanging="420" w:hangingChars="200"/>
        <w:jc w:val="left"/>
        <w:rPr>
          <w:szCs w:val="21"/>
        </w:rPr>
      </w:pPr>
      <w:r>
        <w:rPr>
          <w:rFonts w:hint="eastAsia"/>
          <w:szCs w:val="21"/>
        </w:rPr>
        <w:t>（3）本科成绩单（双学位或辅修二专的同学，还需附双学位或辅修成绩单）和专业排名证明（均需加盖教务部门公章）；</w:t>
      </w:r>
    </w:p>
    <w:p>
      <w:pPr>
        <w:spacing w:line="660" w:lineRule="exact"/>
        <w:jc w:val="left"/>
        <w:rPr>
          <w:szCs w:val="21"/>
        </w:rPr>
      </w:pPr>
      <w:r>
        <w:rPr>
          <w:rFonts w:hint="eastAsia"/>
          <w:szCs w:val="21"/>
        </w:rPr>
        <w:t>（4）外语水平证明复印件，如大学英语四、六级成绩单及其他如托福、雅思等成绩等；</w:t>
      </w:r>
      <w:r>
        <w:rPr>
          <w:szCs w:val="21"/>
        </w:rPr>
        <w:t xml:space="preserve"> </w:t>
      </w:r>
    </w:p>
    <w:p>
      <w:pPr>
        <w:spacing w:line="660" w:lineRule="exact"/>
        <w:jc w:val="left"/>
        <w:rPr>
          <w:szCs w:val="21"/>
        </w:rPr>
      </w:pPr>
      <w:r>
        <w:rPr>
          <w:rFonts w:hint="eastAsia"/>
          <w:szCs w:val="21"/>
        </w:rPr>
        <w:t>（5）有关获奖证书和学术科研成果复印件，如发表论文、出版物或原创性工作等；</w:t>
      </w:r>
    </w:p>
    <w:p>
      <w:pPr>
        <w:spacing w:line="660" w:lineRule="exact"/>
        <w:jc w:val="left"/>
        <w:rPr>
          <w:szCs w:val="21"/>
        </w:rPr>
      </w:pPr>
      <w:r>
        <w:rPr>
          <w:rFonts w:hint="eastAsia"/>
          <w:szCs w:val="21"/>
        </w:rPr>
        <w:t>　　建议使用普通订书机简单装订，并按照申请表、推荐信、成绩单和专业排名证明、奖状复印件、各类证书、学术论文、其他材料的顺序进行排列。较厚的论文及出版物可单附于后。</w:t>
      </w:r>
    </w:p>
    <w:p>
      <w:pPr>
        <w:spacing w:line="660" w:lineRule="exact"/>
        <w:ind w:firstLine="420"/>
        <w:jc w:val="left"/>
        <w:rPr>
          <w:szCs w:val="21"/>
        </w:rPr>
      </w:pPr>
      <w:r>
        <w:rPr>
          <w:rFonts w:hint="eastAsia"/>
          <w:szCs w:val="21"/>
        </w:rPr>
        <w:t>书面申请材料邮寄地址：上海市淞沪路2005号复旦大学法学院210研究生教务办公室收，邮编：200438。信封正面请注明“夏令营申请材料”，于2018年6月</w:t>
      </w:r>
      <w:r>
        <w:rPr>
          <w:szCs w:val="21"/>
        </w:rPr>
        <w:t>20</w:t>
      </w:r>
      <w:r>
        <w:rPr>
          <w:rFonts w:hint="eastAsia"/>
          <w:szCs w:val="21"/>
        </w:rPr>
        <w:t>日前送（寄）达复旦大学法学院（以寄达邮戳时间为准，建议使用快递，联系电话</w:t>
      </w:r>
      <w:bookmarkStart w:id="0" w:name="_GoBack"/>
      <w:r>
        <w:rPr>
          <w:rFonts w:hint="eastAsia"/>
          <w:szCs w:val="21"/>
        </w:rPr>
        <w:t>021-31245615</w:t>
      </w:r>
      <w:bookmarkEnd w:id="0"/>
      <w:r>
        <w:rPr>
          <w:rFonts w:hint="eastAsia"/>
          <w:szCs w:val="21"/>
        </w:rPr>
        <w:t>）。</w:t>
      </w:r>
    </w:p>
    <w:p>
      <w:pPr>
        <w:spacing w:line="660" w:lineRule="exact"/>
        <w:jc w:val="center"/>
        <w:rPr>
          <w:sz w:val="28"/>
          <w:szCs w:val="28"/>
        </w:rPr>
      </w:pPr>
      <w:r>
        <w:rPr>
          <w:rFonts w:hint="eastAsia"/>
          <w:b/>
          <w:bCs/>
          <w:sz w:val="28"/>
          <w:szCs w:val="28"/>
        </w:rPr>
        <w:t>审核录取</w:t>
      </w:r>
    </w:p>
    <w:p>
      <w:pPr>
        <w:spacing w:line="660" w:lineRule="exact"/>
        <w:ind w:firstLine="420" w:firstLineChars="200"/>
        <w:jc w:val="left"/>
        <w:rPr>
          <w:szCs w:val="21"/>
        </w:rPr>
      </w:pPr>
      <w:r>
        <w:rPr>
          <w:rFonts w:hint="eastAsia"/>
          <w:szCs w:val="21"/>
        </w:rPr>
        <w:t>夏令营的材料审核与录取工作将在</w:t>
      </w:r>
      <w:r>
        <w:rPr>
          <w:rFonts w:hint="eastAsia"/>
          <w:bCs/>
          <w:szCs w:val="21"/>
        </w:rPr>
        <w:t>6月20日</w:t>
      </w:r>
      <w:r>
        <w:rPr>
          <w:rFonts w:hint="eastAsia"/>
          <w:szCs w:val="21"/>
        </w:rPr>
        <w:t>结束，录取名单将在复旦大学法学院网站上（http://www.law.fudan.edu.cn/）公布并直接通知本人（电话或EMAIL形式）；届时未接到录取通知的同学皆为未入选者，不另行通知。</w:t>
      </w:r>
    </w:p>
    <w:p>
      <w:pPr>
        <w:spacing w:line="660" w:lineRule="exact"/>
        <w:ind w:firstLine="420" w:firstLineChars="200"/>
        <w:jc w:val="left"/>
        <w:rPr>
          <w:szCs w:val="21"/>
        </w:rPr>
      </w:pPr>
      <w:r>
        <w:rPr>
          <w:rFonts w:hint="eastAsia"/>
          <w:szCs w:val="21"/>
        </w:rPr>
        <w:t>入营人数计划为30名</w:t>
      </w:r>
    </w:p>
    <w:p>
      <w:pPr>
        <w:spacing w:line="660" w:lineRule="exact"/>
        <w:ind w:firstLine="562" w:firstLineChars="200"/>
        <w:jc w:val="center"/>
        <w:rPr>
          <w:b/>
          <w:bCs/>
          <w:sz w:val="28"/>
          <w:szCs w:val="28"/>
        </w:rPr>
      </w:pPr>
      <w:r>
        <w:rPr>
          <w:rFonts w:hint="eastAsia"/>
          <w:b/>
          <w:bCs/>
          <w:sz w:val="28"/>
          <w:szCs w:val="28"/>
        </w:rPr>
        <w:t>日程安排</w:t>
      </w:r>
    </w:p>
    <w:tbl>
      <w:tblPr>
        <w:tblStyle w:val="11"/>
        <w:tblW w:w="8617" w:type="dxa"/>
        <w:jc w:val="center"/>
        <w:tblInd w:w="0" w:type="dxa"/>
        <w:tblLayout w:type="fixed"/>
        <w:tblCellMar>
          <w:top w:w="0" w:type="dxa"/>
          <w:left w:w="0" w:type="dxa"/>
          <w:bottom w:w="0" w:type="dxa"/>
          <w:right w:w="0" w:type="dxa"/>
        </w:tblCellMar>
      </w:tblPr>
      <w:tblGrid>
        <w:gridCol w:w="2873"/>
        <w:gridCol w:w="5744"/>
      </w:tblGrid>
      <w:tr>
        <w:tblPrEx>
          <w:tblLayout w:type="fixed"/>
          <w:tblCellMar>
            <w:top w:w="0" w:type="dxa"/>
            <w:left w:w="0" w:type="dxa"/>
            <w:bottom w:w="0" w:type="dxa"/>
            <w:right w:w="0" w:type="dxa"/>
          </w:tblCellMar>
        </w:tblPrEx>
        <w:trPr>
          <w:trHeight w:val="567" w:hRule="atLeast"/>
          <w:jc w:val="center"/>
        </w:trPr>
        <w:tc>
          <w:tcPr>
            <w:tcW w:w="28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Arial" w:hAnsi="Arial" w:cs="Arial"/>
                <w:kern w:val="0"/>
                <w:szCs w:val="21"/>
              </w:rPr>
            </w:pPr>
            <w:r>
              <w:rPr>
                <w:rFonts w:hint="eastAsia" w:ascii="宋体" w:hAnsi="宋体" w:cs="Arial"/>
                <w:b/>
                <w:bCs/>
                <w:kern w:val="0"/>
                <w:szCs w:val="21"/>
              </w:rPr>
              <w:t>时间</w:t>
            </w:r>
          </w:p>
        </w:tc>
        <w:tc>
          <w:tcPr>
            <w:tcW w:w="57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Arial" w:hAnsi="Arial" w:cs="Arial"/>
                <w:kern w:val="0"/>
                <w:szCs w:val="21"/>
              </w:rPr>
            </w:pPr>
            <w:r>
              <w:rPr>
                <w:rFonts w:hint="eastAsia" w:ascii="宋体" w:hAnsi="宋体" w:cs="Arial"/>
                <w:b/>
                <w:bCs/>
                <w:kern w:val="0"/>
                <w:szCs w:val="21"/>
              </w:rPr>
              <w:t>活动内容</w:t>
            </w:r>
          </w:p>
        </w:tc>
      </w:tr>
      <w:tr>
        <w:tblPrEx>
          <w:tblLayout w:type="fixed"/>
          <w:tblCellMar>
            <w:top w:w="0" w:type="dxa"/>
            <w:left w:w="0" w:type="dxa"/>
            <w:bottom w:w="0" w:type="dxa"/>
            <w:right w:w="0" w:type="dxa"/>
          </w:tblCellMar>
        </w:tblPrEx>
        <w:trPr>
          <w:trHeight w:val="567" w:hRule="atLeast"/>
          <w:jc w:val="center"/>
        </w:trPr>
        <w:tc>
          <w:tcPr>
            <w:tcW w:w="287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6月</w:t>
            </w:r>
            <w:r>
              <w:rPr>
                <w:rFonts w:hint="eastAsia"/>
              </w:rPr>
              <w:t>29日下午</w:t>
            </w:r>
          </w:p>
        </w:tc>
        <w:tc>
          <w:tcPr>
            <w:tcW w:w="5744" w:type="dxa"/>
            <w:tcBorders>
              <w:top w:val="nil"/>
              <w:left w:val="nil"/>
              <w:bottom w:val="single" w:color="auto" w:sz="8" w:space="0"/>
              <w:right w:val="single" w:color="auto" w:sz="8" w:space="0"/>
            </w:tcBorders>
            <w:tcMar>
              <w:top w:w="0" w:type="dxa"/>
              <w:left w:w="108" w:type="dxa"/>
              <w:bottom w:w="0" w:type="dxa"/>
              <w:right w:w="108" w:type="dxa"/>
            </w:tcMar>
          </w:tcPr>
          <w:p>
            <w:pPr>
              <w:jc w:val="center"/>
            </w:pPr>
            <w:r>
              <w:rPr>
                <w:rFonts w:hint="eastAsia"/>
              </w:rPr>
              <w:t>报到</w:t>
            </w:r>
          </w:p>
        </w:tc>
      </w:tr>
      <w:tr>
        <w:tblPrEx>
          <w:tblLayout w:type="fixed"/>
          <w:tblCellMar>
            <w:top w:w="0" w:type="dxa"/>
            <w:left w:w="0" w:type="dxa"/>
            <w:bottom w:w="0" w:type="dxa"/>
            <w:right w:w="0" w:type="dxa"/>
          </w:tblCellMar>
        </w:tblPrEx>
        <w:trPr>
          <w:trHeight w:val="567" w:hRule="atLeast"/>
          <w:jc w:val="center"/>
        </w:trPr>
        <w:tc>
          <w:tcPr>
            <w:tcW w:w="287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6月</w:t>
            </w:r>
            <w:r>
              <w:rPr>
                <w:rFonts w:hint="eastAsia"/>
              </w:rPr>
              <w:t>30日上午</w:t>
            </w:r>
          </w:p>
        </w:tc>
        <w:tc>
          <w:tcPr>
            <w:tcW w:w="5744" w:type="dxa"/>
            <w:tcBorders>
              <w:top w:val="nil"/>
              <w:left w:val="nil"/>
              <w:bottom w:val="single" w:color="auto" w:sz="8" w:space="0"/>
              <w:right w:val="single" w:color="auto" w:sz="8" w:space="0"/>
            </w:tcBorders>
            <w:tcMar>
              <w:top w:w="0" w:type="dxa"/>
              <w:left w:w="108" w:type="dxa"/>
              <w:bottom w:w="0" w:type="dxa"/>
              <w:right w:w="108" w:type="dxa"/>
            </w:tcMar>
          </w:tcPr>
          <w:p>
            <w:pPr>
              <w:jc w:val="center"/>
            </w:pPr>
            <w:r>
              <w:rPr>
                <w:rFonts w:hint="eastAsia"/>
              </w:rPr>
              <w:t>师生互动交流</w:t>
            </w:r>
          </w:p>
        </w:tc>
      </w:tr>
      <w:tr>
        <w:tblPrEx>
          <w:tblLayout w:type="fixed"/>
          <w:tblCellMar>
            <w:top w:w="0" w:type="dxa"/>
            <w:left w:w="0" w:type="dxa"/>
            <w:bottom w:w="0" w:type="dxa"/>
            <w:right w:w="0" w:type="dxa"/>
          </w:tblCellMar>
        </w:tblPrEx>
        <w:trPr>
          <w:trHeight w:val="567" w:hRule="atLeast"/>
          <w:jc w:val="center"/>
        </w:trPr>
        <w:tc>
          <w:tcPr>
            <w:tcW w:w="287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6月</w:t>
            </w:r>
            <w:r>
              <w:rPr>
                <w:rFonts w:hint="eastAsia"/>
              </w:rPr>
              <w:t>30日下午</w:t>
            </w:r>
          </w:p>
        </w:tc>
        <w:tc>
          <w:tcPr>
            <w:tcW w:w="5744" w:type="dxa"/>
            <w:tcBorders>
              <w:top w:val="nil"/>
              <w:left w:val="nil"/>
              <w:bottom w:val="single" w:color="auto" w:sz="8" w:space="0"/>
              <w:right w:val="single" w:color="auto" w:sz="8" w:space="0"/>
            </w:tcBorders>
            <w:tcMar>
              <w:top w:w="0" w:type="dxa"/>
              <w:left w:w="108" w:type="dxa"/>
              <w:bottom w:w="0" w:type="dxa"/>
              <w:right w:w="108" w:type="dxa"/>
            </w:tcMar>
          </w:tcPr>
          <w:p>
            <w:pPr>
              <w:jc w:val="center"/>
            </w:pPr>
            <w:r>
              <w:rPr>
                <w:rFonts w:hint="eastAsia"/>
              </w:rPr>
              <w:t>课程讲述&amp;互动研讨</w:t>
            </w:r>
          </w:p>
        </w:tc>
      </w:tr>
      <w:tr>
        <w:tblPrEx>
          <w:tblLayout w:type="fixed"/>
          <w:tblCellMar>
            <w:top w:w="0" w:type="dxa"/>
            <w:left w:w="0" w:type="dxa"/>
            <w:bottom w:w="0" w:type="dxa"/>
            <w:right w:w="0" w:type="dxa"/>
          </w:tblCellMar>
        </w:tblPrEx>
        <w:trPr>
          <w:trHeight w:val="567" w:hRule="atLeast"/>
          <w:jc w:val="center"/>
        </w:trPr>
        <w:tc>
          <w:tcPr>
            <w:tcW w:w="287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7月</w:t>
            </w:r>
            <w:r>
              <w:rPr>
                <w:rFonts w:hint="eastAsia"/>
              </w:rPr>
              <w:t>1日上午</w:t>
            </w:r>
          </w:p>
        </w:tc>
        <w:tc>
          <w:tcPr>
            <w:tcW w:w="5744" w:type="dxa"/>
            <w:tcBorders>
              <w:top w:val="nil"/>
              <w:left w:val="nil"/>
              <w:bottom w:val="single" w:color="auto" w:sz="8" w:space="0"/>
              <w:right w:val="single" w:color="auto" w:sz="8" w:space="0"/>
            </w:tcBorders>
            <w:tcMar>
              <w:top w:w="0" w:type="dxa"/>
              <w:left w:w="108" w:type="dxa"/>
              <w:bottom w:w="0" w:type="dxa"/>
              <w:right w:w="108" w:type="dxa"/>
            </w:tcMar>
          </w:tcPr>
          <w:p>
            <w:pPr>
              <w:jc w:val="center"/>
            </w:pPr>
            <w:r>
              <w:rPr>
                <w:rFonts w:hint="eastAsia"/>
              </w:rPr>
              <w:t>学生自主学术报告&amp;辩论</w:t>
            </w:r>
          </w:p>
        </w:tc>
      </w:tr>
      <w:tr>
        <w:tblPrEx>
          <w:tblLayout w:type="fixed"/>
          <w:tblCellMar>
            <w:top w:w="0" w:type="dxa"/>
            <w:left w:w="0" w:type="dxa"/>
            <w:bottom w:w="0" w:type="dxa"/>
            <w:right w:w="0" w:type="dxa"/>
          </w:tblCellMar>
        </w:tblPrEx>
        <w:trPr>
          <w:trHeight w:val="567" w:hRule="atLeast"/>
          <w:jc w:val="center"/>
        </w:trPr>
        <w:tc>
          <w:tcPr>
            <w:tcW w:w="287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7月</w:t>
            </w:r>
            <w:r>
              <w:rPr>
                <w:rFonts w:hint="eastAsia"/>
              </w:rPr>
              <w:t>1日下午</w:t>
            </w:r>
          </w:p>
        </w:tc>
        <w:tc>
          <w:tcPr>
            <w:tcW w:w="5744" w:type="dxa"/>
            <w:tcBorders>
              <w:top w:val="nil"/>
              <w:left w:val="nil"/>
              <w:bottom w:val="single" w:color="auto" w:sz="8" w:space="0"/>
              <w:right w:val="single" w:color="auto" w:sz="8" w:space="0"/>
            </w:tcBorders>
            <w:tcMar>
              <w:top w:w="0" w:type="dxa"/>
              <w:left w:w="108" w:type="dxa"/>
              <w:bottom w:w="0" w:type="dxa"/>
              <w:right w:w="108" w:type="dxa"/>
            </w:tcMar>
          </w:tcPr>
          <w:p>
            <w:pPr>
              <w:jc w:val="center"/>
            </w:pPr>
            <w:r>
              <w:rPr>
                <w:rFonts w:hint="eastAsia"/>
              </w:rPr>
              <w:t>离营</w:t>
            </w:r>
          </w:p>
        </w:tc>
      </w:tr>
    </w:tbl>
    <w:p>
      <w:pPr>
        <w:spacing w:line="660" w:lineRule="exact"/>
        <w:ind w:firstLine="360" w:firstLineChars="200"/>
        <w:jc w:val="left"/>
        <w:rPr>
          <w:sz w:val="18"/>
          <w:szCs w:val="18"/>
        </w:rPr>
      </w:pPr>
      <w:r>
        <w:rPr>
          <w:rFonts w:hint="eastAsia"/>
          <w:sz w:val="18"/>
          <w:szCs w:val="18"/>
        </w:rPr>
        <w:t> 注：（1）本日程为拟定计划，具体安排可能会</w:t>
      </w:r>
      <w:r>
        <w:rPr>
          <w:rFonts w:hint="eastAsia"/>
          <w:bCs/>
          <w:sz w:val="18"/>
          <w:szCs w:val="18"/>
        </w:rPr>
        <w:t>根据特殊事由</w:t>
      </w:r>
      <w:r>
        <w:rPr>
          <w:rFonts w:hint="eastAsia"/>
          <w:sz w:val="18"/>
          <w:szCs w:val="18"/>
        </w:rPr>
        <w:t>进行适当调整。</w:t>
      </w:r>
    </w:p>
    <w:p>
      <w:pPr>
        <w:spacing w:line="660" w:lineRule="exact"/>
        <w:ind w:firstLine="360" w:firstLineChars="200"/>
        <w:jc w:val="left"/>
        <w:rPr>
          <w:sz w:val="18"/>
          <w:szCs w:val="18"/>
        </w:rPr>
      </w:pPr>
      <w:r>
        <w:rPr>
          <w:rFonts w:hint="eastAsia"/>
          <w:sz w:val="18"/>
          <w:szCs w:val="18"/>
        </w:rPr>
        <w:t>    </w:t>
      </w:r>
      <w:r>
        <w:rPr>
          <w:sz w:val="18"/>
          <w:szCs w:val="18"/>
        </w:rPr>
        <w:t xml:space="preserve">   </w:t>
      </w:r>
      <w:r>
        <w:rPr>
          <w:rFonts w:hint="eastAsia"/>
          <w:sz w:val="18"/>
          <w:szCs w:val="18"/>
        </w:rPr>
        <w:t>（2）营员报到后要求全程参加所有活动。</w:t>
      </w:r>
    </w:p>
    <w:p>
      <w:pPr>
        <w:spacing w:line="660" w:lineRule="exact"/>
        <w:ind w:firstLine="562" w:firstLineChars="200"/>
        <w:jc w:val="center"/>
        <w:rPr>
          <w:b/>
          <w:bCs/>
          <w:szCs w:val="21"/>
        </w:rPr>
      </w:pPr>
      <w:r>
        <w:rPr>
          <w:rFonts w:hint="eastAsia"/>
          <w:b/>
          <w:bCs/>
          <w:sz w:val="28"/>
          <w:szCs w:val="28"/>
        </w:rPr>
        <w:t>其他事项</w:t>
      </w:r>
    </w:p>
    <w:p>
      <w:pPr>
        <w:spacing w:line="660" w:lineRule="exact"/>
        <w:ind w:firstLine="420" w:firstLineChars="200"/>
        <w:jc w:val="left"/>
        <w:rPr>
          <w:szCs w:val="21"/>
        </w:rPr>
      </w:pPr>
      <w:r>
        <w:rPr>
          <w:rFonts w:hint="eastAsia"/>
          <w:szCs w:val="21"/>
        </w:rPr>
        <w:t>参加暑期夏令营的学生必须遵守复旦大学的相关规定，按照统一安排进行工作和活动，严禁擅自离队，违反规定，后果自负。</w:t>
      </w:r>
    </w:p>
    <w:p>
      <w:pPr>
        <w:spacing w:line="660" w:lineRule="exact"/>
        <w:ind w:firstLine="420" w:firstLineChars="200"/>
        <w:jc w:val="left"/>
        <w:rPr>
          <w:szCs w:val="21"/>
        </w:rPr>
      </w:pPr>
      <w:r>
        <w:rPr>
          <w:rFonts w:hint="eastAsia"/>
          <w:szCs w:val="21"/>
        </w:rPr>
        <w:t>夏令营期间，复旦大学法学院将为所有外校营员提供免费食宿（校内），并承担外地营员的往返交通费</w:t>
      </w:r>
      <w:r>
        <w:rPr>
          <w:rFonts w:hint="eastAsia"/>
          <w:b/>
          <w:szCs w:val="21"/>
        </w:rPr>
        <w:t>（仅报销硬卧及硬座的火车票、动车二等座及以下、汽车票或飞机经济舱，报销上限为每人往返不超过800元）</w:t>
      </w:r>
      <w:r>
        <w:rPr>
          <w:rFonts w:hint="eastAsia"/>
          <w:szCs w:val="21"/>
        </w:rPr>
        <w:t>，实际情况以具体通知为准。</w:t>
      </w:r>
    </w:p>
    <w:p>
      <w:pPr>
        <w:spacing w:line="660" w:lineRule="exact"/>
        <w:ind w:firstLine="420" w:firstLineChars="200"/>
        <w:jc w:val="left"/>
        <w:rPr>
          <w:szCs w:val="21"/>
        </w:rPr>
      </w:pPr>
      <w:r>
        <w:rPr>
          <w:rFonts w:hint="eastAsia"/>
          <w:szCs w:val="21"/>
        </w:rPr>
        <w:t>对其他未尽事宜，复旦大学法学院保留最终解释权。</w:t>
      </w:r>
    </w:p>
    <w:p>
      <w:pPr>
        <w:spacing w:line="660" w:lineRule="exact"/>
        <w:ind w:firstLine="420" w:firstLineChars="200"/>
        <w:jc w:val="left"/>
        <w:rPr>
          <w:szCs w:val="21"/>
        </w:rPr>
      </w:pPr>
      <w:r>
        <w:rPr>
          <w:rFonts w:hint="eastAsia"/>
          <w:szCs w:val="21"/>
        </w:rPr>
        <w:t xml:space="preserve">                                                             复旦大学法学院</w:t>
      </w:r>
    </w:p>
    <w:p>
      <w:pPr>
        <w:spacing w:line="660" w:lineRule="exact"/>
        <w:ind w:firstLine="420" w:firstLineChars="200"/>
        <w:jc w:val="left"/>
        <w:rPr>
          <w:rFonts w:hint="eastAsia"/>
          <w:szCs w:val="21"/>
        </w:rPr>
      </w:pPr>
      <w:r>
        <w:rPr>
          <w:rFonts w:hint="eastAsia"/>
          <w:szCs w:val="21"/>
        </w:rPr>
        <w:t xml:space="preserve">                                 </w:t>
      </w:r>
      <w:r>
        <w:rPr>
          <w:szCs w:val="21"/>
        </w:rPr>
        <w:t xml:space="preserve">                          </w:t>
      </w:r>
      <w:r>
        <w:rPr>
          <w:rFonts w:hint="eastAsia"/>
          <w:szCs w:val="21"/>
        </w:rPr>
        <w:t xml:space="preserve"> 2018年5月4日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166F"/>
    <w:multiLevelType w:val="singleLevel"/>
    <w:tmpl w:val="1B20166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7413E"/>
    <w:rsid w:val="00020F5F"/>
    <w:rsid w:val="00084714"/>
    <w:rsid w:val="000D0DDA"/>
    <w:rsid w:val="00231478"/>
    <w:rsid w:val="002C0638"/>
    <w:rsid w:val="002C45BB"/>
    <w:rsid w:val="002F1D9D"/>
    <w:rsid w:val="0033193A"/>
    <w:rsid w:val="00383BC6"/>
    <w:rsid w:val="00472AB0"/>
    <w:rsid w:val="005039AA"/>
    <w:rsid w:val="005C3360"/>
    <w:rsid w:val="005D5E68"/>
    <w:rsid w:val="00762DAE"/>
    <w:rsid w:val="007A395C"/>
    <w:rsid w:val="007B1E2C"/>
    <w:rsid w:val="00844375"/>
    <w:rsid w:val="008F0377"/>
    <w:rsid w:val="008F1D09"/>
    <w:rsid w:val="00911233"/>
    <w:rsid w:val="009134C3"/>
    <w:rsid w:val="00A24859"/>
    <w:rsid w:val="00AA17B1"/>
    <w:rsid w:val="00B20EF9"/>
    <w:rsid w:val="00B24EC5"/>
    <w:rsid w:val="00B6014C"/>
    <w:rsid w:val="00B64444"/>
    <w:rsid w:val="00DA1301"/>
    <w:rsid w:val="00DD3AC9"/>
    <w:rsid w:val="00E84DAF"/>
    <w:rsid w:val="00F137B1"/>
    <w:rsid w:val="02824C2E"/>
    <w:rsid w:val="04CD56ED"/>
    <w:rsid w:val="160238F3"/>
    <w:rsid w:val="185D1B32"/>
    <w:rsid w:val="1B861C78"/>
    <w:rsid w:val="1CD7413E"/>
    <w:rsid w:val="1E092B57"/>
    <w:rsid w:val="1E7A6C8F"/>
    <w:rsid w:val="210068F7"/>
    <w:rsid w:val="2DF17A37"/>
    <w:rsid w:val="3B6C3489"/>
    <w:rsid w:val="3BD92FE6"/>
    <w:rsid w:val="3D592CD7"/>
    <w:rsid w:val="4E921BF3"/>
    <w:rsid w:val="52805B07"/>
    <w:rsid w:val="63775B7E"/>
    <w:rsid w:val="7E10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qFormat/>
    <w:uiPriority w:val="0"/>
    <w:pPr>
      <w:snapToGrid w:val="0"/>
      <w:jc w:val="left"/>
    </w:pPr>
    <w:rPr>
      <w:sz w:val="18"/>
      <w:szCs w:val="18"/>
    </w:rPr>
  </w:style>
  <w:style w:type="character" w:styleId="9">
    <w:name w:val="annotation reference"/>
    <w:uiPriority w:val="0"/>
    <w:rPr>
      <w:sz w:val="21"/>
      <w:szCs w:val="21"/>
    </w:rPr>
  </w:style>
  <w:style w:type="character" w:styleId="10">
    <w:name w:val="footnote reference"/>
    <w:qFormat/>
    <w:uiPriority w:val="0"/>
    <w:rPr>
      <w:vertAlign w:val="superscript"/>
    </w:rPr>
  </w:style>
  <w:style w:type="character" w:customStyle="1" w:styleId="12">
    <w:name w:val="批注文字 Char"/>
    <w:link w:val="3"/>
    <w:qFormat/>
    <w:uiPriority w:val="0"/>
    <w:rPr>
      <w:rFonts w:ascii="Calibri" w:hAnsi="Calibri" w:cs="黑体"/>
      <w:kern w:val="2"/>
      <w:sz w:val="21"/>
      <w:szCs w:val="24"/>
    </w:rPr>
  </w:style>
  <w:style w:type="character" w:customStyle="1" w:styleId="13">
    <w:name w:val="批注主题 Char"/>
    <w:link w:val="2"/>
    <w:qFormat/>
    <w:uiPriority w:val="0"/>
    <w:rPr>
      <w:rFonts w:ascii="Calibri" w:hAnsi="Calibri" w:cs="黑体"/>
      <w:b/>
      <w:bCs/>
      <w:kern w:val="2"/>
      <w:sz w:val="21"/>
      <w:szCs w:val="24"/>
    </w:rPr>
  </w:style>
  <w:style w:type="character" w:customStyle="1" w:styleId="14">
    <w:name w:val="批注框文本 Char"/>
    <w:link w:val="4"/>
    <w:qFormat/>
    <w:uiPriority w:val="0"/>
    <w:rPr>
      <w:rFonts w:ascii="Calibri" w:hAnsi="Calibri" w:cs="黑体"/>
      <w:kern w:val="2"/>
      <w:sz w:val="18"/>
      <w:szCs w:val="18"/>
    </w:rPr>
  </w:style>
  <w:style w:type="character" w:customStyle="1" w:styleId="15">
    <w:name w:val="脚注文本 Char"/>
    <w:link w:val="7"/>
    <w:qFormat/>
    <w:uiPriority w:val="0"/>
    <w:rPr>
      <w:rFonts w:ascii="Calibri" w:hAnsi="Calibri" w:cs="黑体"/>
      <w:kern w:val="2"/>
      <w:sz w:val="18"/>
      <w:szCs w:val="18"/>
    </w:rPr>
  </w:style>
  <w:style w:type="character" w:customStyle="1" w:styleId="16">
    <w:name w:val="页眉 Char"/>
    <w:link w:val="6"/>
    <w:qFormat/>
    <w:uiPriority w:val="0"/>
    <w:rPr>
      <w:rFonts w:ascii="Calibri" w:hAnsi="Calibri" w:cs="黑体"/>
      <w:kern w:val="2"/>
      <w:sz w:val="18"/>
      <w:szCs w:val="18"/>
    </w:rPr>
  </w:style>
  <w:style w:type="character" w:customStyle="1" w:styleId="17">
    <w:name w:val="页脚 Char"/>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9550B-3709-4AF8-8933-BF810356524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1462</Characters>
  <Lines>12</Lines>
  <Paragraphs>3</Paragraphs>
  <TotalTime>237</TotalTime>
  <ScaleCrop>false</ScaleCrop>
  <LinksUpToDate>false</LinksUpToDate>
  <CharactersWithSpaces>1715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2018-05-04T02:49:00Z</dcterms:created>
  <dc:creator>任芳</dc:creator>
  <cp:lastModifiedBy>有草原的李小姐。</cp:lastModifiedBy>
  <dcterms:modified xsi:type="dcterms:W3CDTF">2018-05-16T08:37:00Z</dcterms:modified>
  <dc:title>2018年复旦大学法学院优秀大学生夏令营简章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